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72" w:rsidRPr="006D7172" w:rsidRDefault="006D7172" w:rsidP="0070051D">
      <w:pPr>
        <w:spacing w:after="0" w:line="240" w:lineRule="auto"/>
        <w:rPr>
          <w:b/>
          <w:lang w:val="en-GB"/>
        </w:rPr>
      </w:pPr>
      <w:r w:rsidRPr="006D7172">
        <w:rPr>
          <w:b/>
          <w:lang w:val="en-GB"/>
        </w:rPr>
        <w:t xml:space="preserve">Updated </w:t>
      </w:r>
      <w:r w:rsidR="00116182">
        <w:rPr>
          <w:b/>
          <w:lang w:val="en-GB"/>
        </w:rPr>
        <w:t>October 2nd</w:t>
      </w:r>
      <w:r w:rsidRPr="006D7172">
        <w:rPr>
          <w:b/>
          <w:lang w:val="en-GB"/>
        </w:rPr>
        <w:t>, 2018</w:t>
      </w:r>
    </w:p>
    <w:p w:rsidR="006D7172" w:rsidRPr="00903471" w:rsidRDefault="00903471" w:rsidP="0070051D">
      <w:pPr>
        <w:spacing w:after="0" w:line="240" w:lineRule="auto"/>
        <w:rPr>
          <w:b/>
          <w:lang w:val="en-GB"/>
        </w:rPr>
      </w:pPr>
      <w:r w:rsidRPr="00903471">
        <w:rPr>
          <w:b/>
          <w:lang w:val="en-GB"/>
        </w:rPr>
        <w:t>By Rune Winther</w:t>
      </w:r>
    </w:p>
    <w:p w:rsidR="00903471" w:rsidRDefault="00903471" w:rsidP="0070051D">
      <w:pPr>
        <w:spacing w:after="0" w:line="240" w:lineRule="auto"/>
        <w:rPr>
          <w:b/>
          <w:sz w:val="28"/>
          <w:lang w:val="en-GB"/>
        </w:rPr>
      </w:pPr>
    </w:p>
    <w:p w:rsidR="0070051D" w:rsidRPr="0070051D" w:rsidRDefault="00FE13B6" w:rsidP="0070051D">
      <w:pPr>
        <w:spacing w:after="0" w:line="240" w:lineRule="auto"/>
        <w:rPr>
          <w:b/>
          <w:sz w:val="28"/>
          <w:lang w:val="en-GB"/>
        </w:rPr>
      </w:pPr>
      <w:r>
        <w:rPr>
          <w:b/>
          <w:sz w:val="28"/>
          <w:lang w:val="en-GB"/>
        </w:rPr>
        <w:t xml:space="preserve">Proposal: </w:t>
      </w:r>
      <w:r w:rsidR="0004742D">
        <w:rPr>
          <w:b/>
          <w:sz w:val="28"/>
          <w:lang w:val="en-GB"/>
        </w:rPr>
        <w:t>Defining the core attributes of the SPD trust case</w:t>
      </w:r>
    </w:p>
    <w:p w:rsidR="0070051D" w:rsidRDefault="0070051D" w:rsidP="0070051D">
      <w:pPr>
        <w:spacing w:after="0" w:line="240" w:lineRule="auto"/>
        <w:rPr>
          <w:lang w:val="en-GB"/>
        </w:rPr>
      </w:pPr>
    </w:p>
    <w:p w:rsidR="000460AB" w:rsidRDefault="000460AB" w:rsidP="0070051D">
      <w:pPr>
        <w:spacing w:after="0" w:line="240" w:lineRule="auto"/>
        <w:rPr>
          <w:lang w:val="en-GB"/>
        </w:rPr>
      </w:pPr>
    </w:p>
    <w:p w:rsidR="000460AB" w:rsidRPr="000460AB" w:rsidRDefault="000460AB" w:rsidP="0070051D">
      <w:pPr>
        <w:spacing w:after="0" w:line="240" w:lineRule="auto"/>
        <w:rPr>
          <w:b/>
          <w:u w:val="single"/>
          <w:lang w:val="en-GB"/>
        </w:rPr>
      </w:pPr>
      <w:r w:rsidRPr="000460AB">
        <w:rPr>
          <w:b/>
          <w:u w:val="single"/>
          <w:lang w:val="en-GB"/>
        </w:rPr>
        <w:t>Introduction</w:t>
      </w:r>
    </w:p>
    <w:p w:rsidR="0070051D" w:rsidRDefault="0070051D" w:rsidP="0070051D">
      <w:pPr>
        <w:spacing w:after="0" w:line="240" w:lineRule="auto"/>
        <w:rPr>
          <w:lang w:val="en-GB"/>
        </w:rPr>
      </w:pPr>
      <w:r>
        <w:rPr>
          <w:lang w:val="en-GB"/>
        </w:rPr>
        <w:t>When building an argumenta</w:t>
      </w:r>
      <w:bookmarkStart w:id="0" w:name="_GoBack"/>
      <w:bookmarkEnd w:id="0"/>
      <w:r>
        <w:rPr>
          <w:lang w:val="en-GB"/>
        </w:rPr>
        <w:t>tion that a Smart</w:t>
      </w:r>
      <w:r w:rsidR="00A812BB">
        <w:rPr>
          <w:lang w:val="en-GB"/>
        </w:rPr>
        <w:t xml:space="preserve"> </w:t>
      </w:r>
      <w:r>
        <w:rPr>
          <w:lang w:val="en-GB"/>
        </w:rPr>
        <w:t>Grid is “go</w:t>
      </w:r>
      <w:r w:rsidR="00645703">
        <w:rPr>
          <w:lang w:val="en-GB"/>
        </w:rPr>
        <w:t>o</w:t>
      </w:r>
      <w:r>
        <w:rPr>
          <w:lang w:val="en-GB"/>
        </w:rPr>
        <w:t xml:space="preserve">d enough”, we need to be precise about what </w:t>
      </w:r>
      <w:proofErr w:type="gramStart"/>
      <w:r>
        <w:rPr>
          <w:lang w:val="en-GB"/>
        </w:rPr>
        <w:t>is meant</w:t>
      </w:r>
      <w:proofErr w:type="gramEnd"/>
      <w:r>
        <w:rPr>
          <w:lang w:val="en-GB"/>
        </w:rPr>
        <w:t xml:space="preserve"> by “g</w:t>
      </w:r>
      <w:r w:rsidR="00F13F59">
        <w:rPr>
          <w:lang w:val="en-GB"/>
        </w:rPr>
        <w:t>o</w:t>
      </w:r>
      <w:r>
        <w:rPr>
          <w:lang w:val="en-GB"/>
        </w:rPr>
        <w:t xml:space="preserve">od enough”. In the IoTSec project so far, the terms security, privacy and dependability </w:t>
      </w:r>
      <w:proofErr w:type="gramStart"/>
      <w:r>
        <w:rPr>
          <w:lang w:val="en-GB"/>
        </w:rPr>
        <w:t>have been used</w:t>
      </w:r>
      <w:proofErr w:type="gramEnd"/>
      <w:r>
        <w:rPr>
          <w:lang w:val="en-GB"/>
        </w:rPr>
        <w:t xml:space="preserve"> as core attributes. However, </w:t>
      </w:r>
      <w:r w:rsidR="00D83964">
        <w:rPr>
          <w:lang w:val="en-GB"/>
        </w:rPr>
        <w:t>I have problems</w:t>
      </w:r>
      <w:r w:rsidR="00A812BB">
        <w:rPr>
          <w:lang w:val="en-GB"/>
        </w:rPr>
        <w:t xml:space="preserve"> finding definitions in the IoTS</w:t>
      </w:r>
      <w:r w:rsidR="00D83964">
        <w:rPr>
          <w:lang w:val="en-GB"/>
        </w:rPr>
        <w:t xml:space="preserve">ec (and Scott) project that are adequately precise </w:t>
      </w:r>
      <w:r w:rsidR="00D83964" w:rsidRPr="000460AB">
        <w:rPr>
          <w:i/>
          <w:lang w:val="en-GB"/>
        </w:rPr>
        <w:t>for use in the SPD trust case</w:t>
      </w:r>
      <w:r>
        <w:rPr>
          <w:lang w:val="en-GB"/>
        </w:rPr>
        <w:t xml:space="preserve">. </w:t>
      </w:r>
    </w:p>
    <w:p w:rsidR="0070051D" w:rsidRDefault="0070051D" w:rsidP="0070051D">
      <w:pPr>
        <w:spacing w:after="0" w:line="240" w:lineRule="auto"/>
        <w:rPr>
          <w:lang w:val="en-GB"/>
        </w:rPr>
      </w:pPr>
    </w:p>
    <w:p w:rsidR="0070051D" w:rsidRDefault="00D83964" w:rsidP="0070051D">
      <w:pPr>
        <w:spacing w:after="0" w:line="240" w:lineRule="auto"/>
        <w:rPr>
          <w:lang w:val="en-GB"/>
        </w:rPr>
      </w:pPr>
      <w:r>
        <w:rPr>
          <w:lang w:val="en-GB"/>
        </w:rPr>
        <w:t>I have therefore written this</w:t>
      </w:r>
      <w:r w:rsidR="0070051D">
        <w:rPr>
          <w:lang w:val="en-GB"/>
        </w:rPr>
        <w:t xml:space="preserve"> proposal for defining the core attribute</w:t>
      </w:r>
      <w:r w:rsidR="00275EFF">
        <w:rPr>
          <w:lang w:val="en-GB"/>
        </w:rPr>
        <w:t xml:space="preserve">s </w:t>
      </w:r>
      <w:r>
        <w:rPr>
          <w:lang w:val="en-GB"/>
        </w:rPr>
        <w:t xml:space="preserve">relevant to the SPD trust case. It </w:t>
      </w:r>
      <w:proofErr w:type="gramStart"/>
      <w:r w:rsidR="00275EFF">
        <w:rPr>
          <w:lang w:val="en-GB"/>
        </w:rPr>
        <w:t>is based</w:t>
      </w:r>
      <w:proofErr w:type="gramEnd"/>
      <w:r w:rsidR="00275EFF">
        <w:rPr>
          <w:lang w:val="en-GB"/>
        </w:rPr>
        <w:t xml:space="preserve"> o</w:t>
      </w:r>
      <w:r w:rsidR="0070051D">
        <w:rPr>
          <w:lang w:val="en-GB"/>
        </w:rPr>
        <w:t xml:space="preserve">n the </w:t>
      </w:r>
      <w:r w:rsidR="00275EFF">
        <w:rPr>
          <w:lang w:val="en-GB"/>
        </w:rPr>
        <w:t>term</w:t>
      </w:r>
      <w:r>
        <w:rPr>
          <w:lang w:val="en-GB"/>
        </w:rPr>
        <w:t>s</w:t>
      </w:r>
      <w:r w:rsidR="00275EFF">
        <w:rPr>
          <w:lang w:val="en-GB"/>
        </w:rPr>
        <w:t xml:space="preserve"> </w:t>
      </w:r>
      <w:r w:rsidR="0070051D">
        <w:rPr>
          <w:lang w:val="en-GB"/>
        </w:rPr>
        <w:t>dependability</w:t>
      </w:r>
      <w:r w:rsidR="00474F4A">
        <w:rPr>
          <w:lang w:val="en-GB"/>
        </w:rPr>
        <w:t xml:space="preserve"> </w:t>
      </w:r>
      <w:r w:rsidR="00275EFF">
        <w:rPr>
          <w:lang w:val="en-GB"/>
        </w:rPr>
        <w:t>&amp;</w:t>
      </w:r>
      <w:r w:rsidR="00474F4A">
        <w:rPr>
          <w:lang w:val="en-GB"/>
        </w:rPr>
        <w:t xml:space="preserve"> </w:t>
      </w:r>
      <w:r w:rsidR="00275EFF">
        <w:rPr>
          <w:lang w:val="en-GB"/>
        </w:rPr>
        <w:t>security</w:t>
      </w:r>
      <w:r w:rsidR="0070051D">
        <w:rPr>
          <w:lang w:val="en-GB"/>
        </w:rPr>
        <w:t xml:space="preserve">, as </w:t>
      </w:r>
      <w:r w:rsidR="00045EDF">
        <w:rPr>
          <w:lang w:val="en-GB"/>
        </w:rPr>
        <w:t xml:space="preserve">defined in </w:t>
      </w:r>
      <w:r w:rsidR="00045EDF">
        <w:rPr>
          <w:lang w:val="en-GB"/>
        </w:rPr>
        <w:fldChar w:fldCharType="begin"/>
      </w:r>
      <w:r w:rsidR="00045EDF">
        <w:rPr>
          <w:lang w:val="en-GB"/>
        </w:rPr>
        <w:instrText xml:space="preserve"> REF _Ref517766234 \r \h </w:instrText>
      </w:r>
      <w:r w:rsidR="00045EDF">
        <w:rPr>
          <w:lang w:val="en-GB"/>
        </w:rPr>
      </w:r>
      <w:r w:rsidR="00045EDF">
        <w:rPr>
          <w:lang w:val="en-GB"/>
        </w:rPr>
        <w:fldChar w:fldCharType="separate"/>
      </w:r>
      <w:r w:rsidR="00045EDF">
        <w:rPr>
          <w:lang w:val="en-GB"/>
        </w:rPr>
        <w:t>[1]</w:t>
      </w:r>
      <w:r w:rsidR="00045EDF">
        <w:rPr>
          <w:lang w:val="en-GB"/>
        </w:rPr>
        <w:fldChar w:fldCharType="end"/>
      </w:r>
      <w:r w:rsidR="00450618">
        <w:rPr>
          <w:lang w:val="en-GB"/>
        </w:rPr>
        <w:t xml:space="preserve"> and </w:t>
      </w:r>
      <w:r w:rsidR="00450618">
        <w:rPr>
          <w:lang w:val="en-GB"/>
        </w:rPr>
        <w:fldChar w:fldCharType="begin"/>
      </w:r>
      <w:r w:rsidR="00450618">
        <w:rPr>
          <w:lang w:val="en-GB"/>
        </w:rPr>
        <w:instrText xml:space="preserve"> REF _Ref517774003 \r \h </w:instrText>
      </w:r>
      <w:r w:rsidR="00450618">
        <w:rPr>
          <w:lang w:val="en-GB"/>
        </w:rPr>
      </w:r>
      <w:r w:rsidR="00450618">
        <w:rPr>
          <w:lang w:val="en-GB"/>
        </w:rPr>
        <w:fldChar w:fldCharType="separate"/>
      </w:r>
      <w:r w:rsidR="00450618">
        <w:rPr>
          <w:lang w:val="en-GB"/>
        </w:rPr>
        <w:t>[2]</w:t>
      </w:r>
      <w:r w:rsidR="00450618">
        <w:rPr>
          <w:lang w:val="en-GB"/>
        </w:rPr>
        <w:fldChar w:fldCharType="end"/>
      </w:r>
      <w:r w:rsidR="00045EDF">
        <w:rPr>
          <w:lang w:val="en-GB"/>
        </w:rPr>
        <w:t xml:space="preserve">, but with the addition of privacy. </w:t>
      </w:r>
      <w:r w:rsidR="0006368D">
        <w:rPr>
          <w:lang w:val="en-GB"/>
        </w:rPr>
        <w:t xml:space="preserve">The definition of privacy is based/influenced by the </w:t>
      </w:r>
      <w:r w:rsidR="009C4A8B">
        <w:rPr>
          <w:lang w:val="en-GB"/>
        </w:rPr>
        <w:t xml:space="preserve">trust case developed as part of the </w:t>
      </w:r>
      <w:r w:rsidR="0006368D">
        <w:rPr>
          <w:lang w:val="en-GB"/>
        </w:rPr>
        <w:t>PIPS-project</w:t>
      </w:r>
      <w:r w:rsidR="00B62F3A">
        <w:rPr>
          <w:lang w:val="en-GB"/>
        </w:rPr>
        <w:t xml:space="preserve"> </w:t>
      </w:r>
      <w:r w:rsidR="00B62F3A">
        <w:rPr>
          <w:lang w:val="en-GB"/>
        </w:rPr>
        <w:fldChar w:fldCharType="begin"/>
      </w:r>
      <w:r w:rsidR="00B62F3A">
        <w:rPr>
          <w:lang w:val="en-GB"/>
        </w:rPr>
        <w:instrText xml:space="preserve"> REF _Ref522001360 \r \h </w:instrText>
      </w:r>
      <w:r w:rsidR="00B62F3A">
        <w:rPr>
          <w:lang w:val="en-GB"/>
        </w:rPr>
      </w:r>
      <w:r w:rsidR="00B62F3A">
        <w:rPr>
          <w:lang w:val="en-GB"/>
        </w:rPr>
        <w:fldChar w:fldCharType="separate"/>
      </w:r>
      <w:r w:rsidR="00B62F3A">
        <w:rPr>
          <w:lang w:val="en-GB"/>
        </w:rPr>
        <w:t>[3]</w:t>
      </w:r>
      <w:r w:rsidR="00B62F3A">
        <w:rPr>
          <w:lang w:val="en-GB"/>
        </w:rPr>
        <w:fldChar w:fldCharType="end"/>
      </w:r>
      <w:r w:rsidR="00A812BB">
        <w:rPr>
          <w:lang w:val="en-GB"/>
        </w:rPr>
        <w:t xml:space="preserve">, as well as </w:t>
      </w:r>
      <w:r w:rsidR="00A812BB">
        <w:rPr>
          <w:lang w:val="en-GB"/>
        </w:rPr>
        <w:fldChar w:fldCharType="begin"/>
      </w:r>
      <w:r w:rsidR="00A812BB">
        <w:rPr>
          <w:lang w:val="en-GB"/>
        </w:rPr>
        <w:instrText xml:space="preserve"> REF _Ref522606863 \r \h </w:instrText>
      </w:r>
      <w:r w:rsidR="00A812BB">
        <w:rPr>
          <w:lang w:val="en-GB"/>
        </w:rPr>
      </w:r>
      <w:r w:rsidR="00A812BB">
        <w:rPr>
          <w:lang w:val="en-GB"/>
        </w:rPr>
        <w:fldChar w:fldCharType="separate"/>
      </w:r>
      <w:r w:rsidR="00A812BB">
        <w:rPr>
          <w:lang w:val="en-GB"/>
        </w:rPr>
        <w:t>[4]</w:t>
      </w:r>
      <w:r w:rsidR="00A812BB">
        <w:rPr>
          <w:lang w:val="en-GB"/>
        </w:rPr>
        <w:fldChar w:fldCharType="end"/>
      </w:r>
      <w:r w:rsidR="0006368D">
        <w:rPr>
          <w:lang w:val="en-GB"/>
        </w:rPr>
        <w:t xml:space="preserve">. </w:t>
      </w:r>
    </w:p>
    <w:p w:rsidR="00045EDF" w:rsidRDefault="00045EDF" w:rsidP="0070051D">
      <w:pPr>
        <w:spacing w:after="0" w:line="240" w:lineRule="auto"/>
        <w:rPr>
          <w:lang w:val="en-GB"/>
        </w:rPr>
      </w:pPr>
    </w:p>
    <w:p w:rsidR="000460AB" w:rsidRDefault="000460AB" w:rsidP="0070051D">
      <w:pPr>
        <w:spacing w:after="0" w:line="240" w:lineRule="auto"/>
        <w:rPr>
          <w:lang w:val="en-GB"/>
        </w:rPr>
      </w:pPr>
    </w:p>
    <w:p w:rsidR="000460AB" w:rsidRPr="000460AB" w:rsidRDefault="000460AB" w:rsidP="0070051D">
      <w:pPr>
        <w:spacing w:after="0" w:line="240" w:lineRule="auto"/>
        <w:rPr>
          <w:b/>
          <w:u w:val="single"/>
          <w:lang w:val="en-GB"/>
        </w:rPr>
      </w:pPr>
      <w:r w:rsidRPr="000460AB">
        <w:rPr>
          <w:b/>
          <w:u w:val="single"/>
          <w:lang w:val="en-GB"/>
        </w:rPr>
        <w:t>Attributes of SPD</w:t>
      </w:r>
    </w:p>
    <w:p w:rsidR="00045EDF" w:rsidRDefault="00474F4A" w:rsidP="0070051D">
      <w:pPr>
        <w:spacing w:after="0" w:line="240" w:lineRule="auto"/>
        <w:rPr>
          <w:lang w:val="en-GB"/>
        </w:rPr>
      </w:pPr>
      <w:r>
        <w:rPr>
          <w:lang w:val="en-GB"/>
        </w:rPr>
        <w:t xml:space="preserve">J.C. </w:t>
      </w:r>
      <w:proofErr w:type="spellStart"/>
      <w:r w:rsidR="00045EDF">
        <w:rPr>
          <w:lang w:val="en-GB"/>
        </w:rPr>
        <w:t>Laprie</w:t>
      </w:r>
      <w:proofErr w:type="spellEnd"/>
      <w:r w:rsidR="00045EDF">
        <w:rPr>
          <w:lang w:val="en-GB"/>
        </w:rPr>
        <w:t xml:space="preserve"> defined dependability</w:t>
      </w:r>
      <w:r>
        <w:rPr>
          <w:lang w:val="en-GB"/>
        </w:rPr>
        <w:t xml:space="preserve"> </w:t>
      </w:r>
      <w:r w:rsidR="00275EFF">
        <w:rPr>
          <w:lang w:val="en-GB"/>
        </w:rPr>
        <w:t>&amp;</w:t>
      </w:r>
      <w:r>
        <w:rPr>
          <w:lang w:val="en-GB"/>
        </w:rPr>
        <w:t xml:space="preserve"> </w:t>
      </w:r>
      <w:r w:rsidR="00275EFF">
        <w:rPr>
          <w:lang w:val="en-GB"/>
        </w:rPr>
        <w:t>security</w:t>
      </w:r>
      <w:r w:rsidR="00045EDF">
        <w:rPr>
          <w:lang w:val="en-GB"/>
        </w:rPr>
        <w:t xml:space="preserve"> as shown in </w:t>
      </w:r>
      <w:r w:rsidR="00250826">
        <w:rPr>
          <w:lang w:val="en-GB"/>
        </w:rPr>
        <w:fldChar w:fldCharType="begin"/>
      </w:r>
      <w:r w:rsidR="00250826">
        <w:rPr>
          <w:lang w:val="en-GB"/>
        </w:rPr>
        <w:instrText xml:space="preserve"> REF _Ref517767722 \h </w:instrText>
      </w:r>
      <w:r w:rsidR="00250826">
        <w:rPr>
          <w:lang w:val="en-GB"/>
        </w:rPr>
      </w:r>
      <w:r w:rsidR="00250826">
        <w:rPr>
          <w:lang w:val="en-GB"/>
        </w:rPr>
        <w:fldChar w:fldCharType="separate"/>
      </w:r>
      <w:r w:rsidR="00250826" w:rsidRPr="00250826">
        <w:rPr>
          <w:lang w:val="en-GB"/>
        </w:rPr>
        <w:t xml:space="preserve">Figure </w:t>
      </w:r>
      <w:r w:rsidR="00250826" w:rsidRPr="00250826">
        <w:rPr>
          <w:noProof/>
          <w:lang w:val="en-GB"/>
        </w:rPr>
        <w:t>1</w:t>
      </w:r>
      <w:r w:rsidR="00250826">
        <w:rPr>
          <w:lang w:val="en-GB"/>
        </w:rPr>
        <w:fldChar w:fldCharType="end"/>
      </w:r>
      <w:r w:rsidR="00045EDF">
        <w:rPr>
          <w:lang w:val="en-GB"/>
        </w:rPr>
        <w:t>.</w:t>
      </w:r>
    </w:p>
    <w:p w:rsidR="0070051D" w:rsidRDefault="0070051D" w:rsidP="0070051D">
      <w:pPr>
        <w:spacing w:after="0" w:line="240" w:lineRule="auto"/>
        <w:rPr>
          <w:lang w:val="en-GB"/>
        </w:rPr>
      </w:pPr>
    </w:p>
    <w:p w:rsidR="00FD2F4B" w:rsidRDefault="0070051D" w:rsidP="008A39FF">
      <w:pPr>
        <w:keepNext/>
        <w:spacing w:after="0" w:line="240" w:lineRule="auto"/>
        <w:jc w:val="center"/>
      </w:pPr>
      <w:r>
        <w:rPr>
          <w:noProof/>
          <w:color w:val="0000FF"/>
          <w:lang w:eastAsia="nb-NO"/>
        </w:rPr>
        <w:drawing>
          <wp:inline distT="0" distB="0" distL="0" distR="0">
            <wp:extent cx="3619500" cy="2745086"/>
            <wp:effectExtent l="0" t="0" r="0" b="0"/>
            <wp:docPr id="1" name="Picture 1" descr="File:Dep-1.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ep-1.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931" cy="2760581"/>
                    </a:xfrm>
                    <a:prstGeom prst="rect">
                      <a:avLst/>
                    </a:prstGeom>
                    <a:noFill/>
                    <a:ln>
                      <a:noFill/>
                    </a:ln>
                  </pic:spPr>
                </pic:pic>
              </a:graphicData>
            </a:graphic>
          </wp:inline>
        </w:drawing>
      </w:r>
    </w:p>
    <w:p w:rsidR="0070051D" w:rsidRPr="00250826" w:rsidRDefault="00FD2F4B" w:rsidP="008A39FF">
      <w:pPr>
        <w:pStyle w:val="Caption"/>
        <w:jc w:val="center"/>
        <w:rPr>
          <w:color w:val="auto"/>
          <w:lang w:val="en-GB"/>
        </w:rPr>
      </w:pPr>
      <w:bookmarkStart w:id="1" w:name="_Ref517767722"/>
      <w:r w:rsidRPr="00250826">
        <w:rPr>
          <w:color w:val="auto"/>
          <w:lang w:val="en-GB"/>
        </w:rPr>
        <w:t xml:space="preserve">Figure </w:t>
      </w:r>
      <w:r w:rsidRPr="00FD2F4B">
        <w:rPr>
          <w:color w:val="auto"/>
        </w:rPr>
        <w:fldChar w:fldCharType="begin"/>
      </w:r>
      <w:r w:rsidRPr="00250826">
        <w:rPr>
          <w:color w:val="auto"/>
          <w:lang w:val="en-GB"/>
        </w:rPr>
        <w:instrText xml:space="preserve"> SEQ Figure \* ARABIC </w:instrText>
      </w:r>
      <w:r w:rsidRPr="00FD2F4B">
        <w:rPr>
          <w:color w:val="auto"/>
        </w:rPr>
        <w:fldChar w:fldCharType="separate"/>
      </w:r>
      <w:r w:rsidR="004B3939">
        <w:rPr>
          <w:noProof/>
          <w:color w:val="auto"/>
          <w:lang w:val="en-GB"/>
        </w:rPr>
        <w:t>1</w:t>
      </w:r>
      <w:r w:rsidRPr="00FD2F4B">
        <w:rPr>
          <w:color w:val="auto"/>
        </w:rPr>
        <w:fldChar w:fldCharType="end"/>
      </w:r>
      <w:bookmarkEnd w:id="1"/>
      <w:r w:rsidRPr="00250826">
        <w:rPr>
          <w:color w:val="auto"/>
          <w:lang w:val="en-GB"/>
        </w:rPr>
        <w:t>: Taxonomy of dependability</w:t>
      </w:r>
      <w:r w:rsidR="00F45AB6">
        <w:rPr>
          <w:color w:val="auto"/>
          <w:lang w:val="en-GB"/>
        </w:rPr>
        <w:t xml:space="preserve"> </w:t>
      </w:r>
      <w:r w:rsidR="00250826" w:rsidRPr="00250826">
        <w:rPr>
          <w:color w:val="auto"/>
          <w:lang w:val="en-GB"/>
        </w:rPr>
        <w:t>&amp;</w:t>
      </w:r>
      <w:r w:rsidR="00F45AB6">
        <w:rPr>
          <w:color w:val="auto"/>
          <w:lang w:val="en-GB"/>
        </w:rPr>
        <w:t xml:space="preserve"> </w:t>
      </w:r>
      <w:r w:rsidR="00250826" w:rsidRPr="00250826">
        <w:rPr>
          <w:color w:val="auto"/>
          <w:lang w:val="en-GB"/>
        </w:rPr>
        <w:t>security</w:t>
      </w:r>
      <w:r w:rsidRPr="00250826">
        <w:rPr>
          <w:color w:val="auto"/>
          <w:lang w:val="en-GB"/>
        </w:rPr>
        <w:t>.</w:t>
      </w:r>
    </w:p>
    <w:p w:rsidR="00351D4E" w:rsidRDefault="00474F4A" w:rsidP="0070051D">
      <w:pPr>
        <w:spacing w:after="0" w:line="240" w:lineRule="auto"/>
        <w:rPr>
          <w:lang w:val="en-GB"/>
        </w:rPr>
      </w:pPr>
      <w:r>
        <w:rPr>
          <w:lang w:val="en-GB"/>
        </w:rPr>
        <w:t>For the formulation of the top-leve</w:t>
      </w:r>
      <w:r w:rsidR="00B62F3A">
        <w:rPr>
          <w:lang w:val="en-GB"/>
        </w:rPr>
        <w:t xml:space="preserve">l claim in the trust </w:t>
      </w:r>
      <w:r w:rsidR="004D7A34">
        <w:rPr>
          <w:lang w:val="en-GB"/>
        </w:rPr>
        <w:t>case,</w:t>
      </w:r>
      <w:r w:rsidR="00B62F3A">
        <w:rPr>
          <w:lang w:val="en-GB"/>
        </w:rPr>
        <w:t xml:space="preserve"> </w:t>
      </w:r>
      <w:r>
        <w:rPr>
          <w:lang w:val="en-GB"/>
        </w:rPr>
        <w:t xml:space="preserve">the attributes in </w:t>
      </w:r>
      <w:r>
        <w:rPr>
          <w:lang w:val="en-GB"/>
        </w:rPr>
        <w:fldChar w:fldCharType="begin"/>
      </w:r>
      <w:r>
        <w:rPr>
          <w:lang w:val="en-GB"/>
        </w:rPr>
        <w:instrText xml:space="preserve"> REF _Ref517767722 \h </w:instrText>
      </w:r>
      <w:r>
        <w:rPr>
          <w:lang w:val="en-GB"/>
        </w:rPr>
      </w:r>
      <w:r>
        <w:rPr>
          <w:lang w:val="en-GB"/>
        </w:rPr>
        <w:fldChar w:fldCharType="separate"/>
      </w:r>
      <w:r w:rsidRPr="00250826">
        <w:rPr>
          <w:lang w:val="en-GB"/>
        </w:rPr>
        <w:t xml:space="preserve">Figure </w:t>
      </w:r>
      <w:r w:rsidRPr="00250826">
        <w:rPr>
          <w:noProof/>
          <w:lang w:val="en-GB"/>
        </w:rPr>
        <w:t>1</w:t>
      </w:r>
      <w:r>
        <w:rPr>
          <w:lang w:val="en-GB"/>
        </w:rPr>
        <w:fldChar w:fldCharType="end"/>
      </w:r>
      <w:r>
        <w:rPr>
          <w:lang w:val="en-GB"/>
        </w:rPr>
        <w:t xml:space="preserve"> are of primary interest.</w:t>
      </w:r>
      <w:r w:rsidR="00351D4E">
        <w:rPr>
          <w:lang w:val="en-GB"/>
        </w:rPr>
        <w:t xml:space="preserve"> In this taxonomy, the terms dependability and security are to some extent overlapping:</w:t>
      </w:r>
    </w:p>
    <w:p w:rsidR="0070051D" w:rsidRPr="00351D4E" w:rsidRDefault="00351D4E" w:rsidP="00351D4E">
      <w:pPr>
        <w:pStyle w:val="ListParagraph"/>
        <w:numPr>
          <w:ilvl w:val="0"/>
          <w:numId w:val="2"/>
        </w:numPr>
        <w:spacing w:after="0" w:line="240" w:lineRule="auto"/>
        <w:rPr>
          <w:lang w:val="en-GB"/>
        </w:rPr>
      </w:pPr>
      <w:r w:rsidRPr="00351D4E">
        <w:rPr>
          <w:lang w:val="en-GB"/>
        </w:rPr>
        <w:t>Dependability</w:t>
      </w:r>
      <w:r w:rsidR="00474F4A" w:rsidRPr="00351D4E">
        <w:rPr>
          <w:lang w:val="en-GB"/>
        </w:rPr>
        <w:t xml:space="preserve"> </w:t>
      </w:r>
      <w:r w:rsidRPr="00351D4E">
        <w:rPr>
          <w:lang w:val="en-GB"/>
        </w:rPr>
        <w:t>consists of: Availability, reliability, safety, integrity and maintainability</w:t>
      </w:r>
    </w:p>
    <w:p w:rsidR="00351D4E" w:rsidRPr="00351D4E" w:rsidRDefault="00351D4E" w:rsidP="00351D4E">
      <w:pPr>
        <w:pStyle w:val="ListParagraph"/>
        <w:numPr>
          <w:ilvl w:val="0"/>
          <w:numId w:val="2"/>
        </w:numPr>
        <w:spacing w:after="0" w:line="240" w:lineRule="auto"/>
        <w:rPr>
          <w:lang w:val="en-GB"/>
        </w:rPr>
      </w:pPr>
      <w:r w:rsidRPr="00351D4E">
        <w:rPr>
          <w:lang w:val="en-GB"/>
        </w:rPr>
        <w:t xml:space="preserve">Security </w:t>
      </w:r>
      <w:r w:rsidR="00903471">
        <w:rPr>
          <w:lang w:val="en-GB"/>
        </w:rPr>
        <w:t>includes</w:t>
      </w:r>
      <w:r w:rsidRPr="00351D4E">
        <w:rPr>
          <w:lang w:val="en-GB"/>
        </w:rPr>
        <w:t>: Confidentiality, integrity and availability (the CIA triad)</w:t>
      </w:r>
    </w:p>
    <w:p w:rsidR="0070051D" w:rsidRDefault="0070051D" w:rsidP="0070051D">
      <w:pPr>
        <w:spacing w:after="0" w:line="240" w:lineRule="auto"/>
        <w:rPr>
          <w:lang w:val="en-GB"/>
        </w:rPr>
      </w:pPr>
    </w:p>
    <w:p w:rsidR="00474F4A" w:rsidRDefault="00375FE9" w:rsidP="0070051D">
      <w:pPr>
        <w:spacing w:after="0" w:line="240" w:lineRule="auto"/>
        <w:rPr>
          <w:lang w:val="en-GB"/>
        </w:rPr>
      </w:pPr>
      <w:r>
        <w:rPr>
          <w:lang w:val="en-GB"/>
        </w:rPr>
        <w:t xml:space="preserve">It </w:t>
      </w:r>
      <w:proofErr w:type="gramStart"/>
      <w:r>
        <w:rPr>
          <w:lang w:val="en-GB"/>
        </w:rPr>
        <w:t>should be noted</w:t>
      </w:r>
      <w:proofErr w:type="gramEnd"/>
      <w:r>
        <w:rPr>
          <w:lang w:val="en-GB"/>
        </w:rPr>
        <w:t xml:space="preserve">, however, that the meaning of the overlapping terms (i.e. integrity and availability) might be interpreted differently for dependability and security. In a security context, integrity is primarily thought of as “ability to prevent unauthorized access”, while integrity in </w:t>
      </w:r>
      <w:r w:rsidR="00124292">
        <w:rPr>
          <w:lang w:val="en-GB"/>
        </w:rPr>
        <w:t xml:space="preserve">e.g. </w:t>
      </w:r>
      <w:r>
        <w:rPr>
          <w:lang w:val="en-GB"/>
        </w:rPr>
        <w:t xml:space="preserve">a safety context is </w:t>
      </w:r>
      <w:r w:rsidR="00124292">
        <w:rPr>
          <w:lang w:val="en-GB"/>
        </w:rPr>
        <w:t>related to probability of failure of a safety function.</w:t>
      </w:r>
      <w:r>
        <w:rPr>
          <w:lang w:val="en-GB"/>
        </w:rPr>
        <w:t xml:space="preserve"> </w:t>
      </w:r>
    </w:p>
    <w:p w:rsidR="00183F8B" w:rsidRDefault="00183F8B" w:rsidP="0070051D">
      <w:pPr>
        <w:spacing w:after="0" w:line="240" w:lineRule="auto"/>
        <w:rPr>
          <w:lang w:val="en-GB"/>
        </w:rPr>
      </w:pPr>
    </w:p>
    <w:p w:rsidR="00183F8B" w:rsidRPr="0070051D" w:rsidRDefault="00183F8B" w:rsidP="0070051D">
      <w:pPr>
        <w:spacing w:after="0" w:line="240" w:lineRule="auto"/>
        <w:rPr>
          <w:lang w:val="en-GB"/>
        </w:rPr>
      </w:pPr>
      <w:r>
        <w:rPr>
          <w:lang w:val="en-GB"/>
        </w:rPr>
        <w:t xml:space="preserve">As suggested by </w:t>
      </w:r>
      <w:proofErr w:type="spellStart"/>
      <w:r>
        <w:rPr>
          <w:lang w:val="en-GB"/>
        </w:rPr>
        <w:t>Elahe</w:t>
      </w:r>
      <w:proofErr w:type="spellEnd"/>
      <w:r>
        <w:rPr>
          <w:lang w:val="en-GB"/>
        </w:rPr>
        <w:t xml:space="preserve"> </w:t>
      </w:r>
      <w:proofErr w:type="spellStart"/>
      <w:r>
        <w:rPr>
          <w:lang w:val="en-GB"/>
        </w:rPr>
        <w:t>Fazeldehkordi</w:t>
      </w:r>
      <w:proofErr w:type="spellEnd"/>
      <w:r>
        <w:rPr>
          <w:lang w:val="en-GB"/>
        </w:rPr>
        <w:t xml:space="preserve">, the definition of security </w:t>
      </w:r>
      <w:proofErr w:type="gramStart"/>
      <w:r>
        <w:rPr>
          <w:lang w:val="en-GB"/>
        </w:rPr>
        <w:t>has been extended</w:t>
      </w:r>
      <w:proofErr w:type="gramEnd"/>
      <w:r>
        <w:rPr>
          <w:lang w:val="en-GB"/>
        </w:rPr>
        <w:t xml:space="preserve"> to also include authenticity and accountability. </w:t>
      </w:r>
    </w:p>
    <w:p w:rsidR="0070051D" w:rsidRPr="0070051D" w:rsidRDefault="0070051D" w:rsidP="0070051D">
      <w:pPr>
        <w:spacing w:after="0" w:line="240" w:lineRule="auto"/>
        <w:rPr>
          <w:lang w:val="en-GB"/>
        </w:rPr>
      </w:pPr>
    </w:p>
    <w:p w:rsidR="009223DD" w:rsidRDefault="000F220A" w:rsidP="0070051D">
      <w:pPr>
        <w:spacing w:after="0" w:line="240" w:lineRule="auto"/>
        <w:rPr>
          <w:lang w:val="en-GB"/>
        </w:rPr>
      </w:pPr>
      <w:r>
        <w:rPr>
          <w:lang w:val="en-GB"/>
        </w:rPr>
        <w:t xml:space="preserve">The term privacy </w:t>
      </w:r>
      <w:proofErr w:type="gramStart"/>
      <w:r>
        <w:rPr>
          <w:lang w:val="en-GB"/>
        </w:rPr>
        <w:t>is naturally related</w:t>
      </w:r>
      <w:proofErr w:type="gramEnd"/>
      <w:r>
        <w:rPr>
          <w:lang w:val="en-GB"/>
        </w:rPr>
        <w:t xml:space="preserve"> to GDPR</w:t>
      </w:r>
      <w:r w:rsidR="0004278E">
        <w:rPr>
          <w:lang w:val="en-GB"/>
        </w:rPr>
        <w:t xml:space="preserve"> a</w:t>
      </w:r>
      <w:r>
        <w:rPr>
          <w:lang w:val="en-GB"/>
        </w:rPr>
        <w:t xml:space="preserve">nd personal data: </w:t>
      </w:r>
    </w:p>
    <w:p w:rsidR="009223DD" w:rsidRPr="009223DD" w:rsidRDefault="000F220A" w:rsidP="009223DD">
      <w:pPr>
        <w:pStyle w:val="ListParagraph"/>
        <w:numPr>
          <w:ilvl w:val="0"/>
          <w:numId w:val="3"/>
        </w:numPr>
        <w:spacing w:after="0" w:line="240" w:lineRule="auto"/>
        <w:rPr>
          <w:lang w:val="en-GB"/>
        </w:rPr>
      </w:pPr>
      <w:r w:rsidRPr="009223DD">
        <w:rPr>
          <w:lang w:val="en-GB"/>
        </w:rPr>
        <w:t xml:space="preserve">Personal data is any information that relates to an identified or identifiable living individual. </w:t>
      </w:r>
    </w:p>
    <w:p w:rsidR="009223DD" w:rsidRDefault="009223DD" w:rsidP="0070051D">
      <w:pPr>
        <w:spacing w:after="0" w:line="240" w:lineRule="auto"/>
        <w:rPr>
          <w:lang w:val="en-GB"/>
        </w:rPr>
      </w:pPr>
    </w:p>
    <w:p w:rsidR="003E5E8B" w:rsidRDefault="003D0EC5" w:rsidP="00C179C6">
      <w:pPr>
        <w:spacing w:after="0" w:line="240" w:lineRule="auto"/>
        <w:rPr>
          <w:lang w:val="en-GB"/>
        </w:rPr>
      </w:pPr>
      <w:r>
        <w:rPr>
          <w:lang w:val="en-GB"/>
        </w:rPr>
        <w:t xml:space="preserve">Privacy </w:t>
      </w:r>
      <w:proofErr w:type="gramStart"/>
      <w:r>
        <w:rPr>
          <w:lang w:val="en-GB"/>
        </w:rPr>
        <w:t>can then be defined</w:t>
      </w:r>
      <w:proofErr w:type="gramEnd"/>
      <w:r>
        <w:rPr>
          <w:lang w:val="en-GB"/>
        </w:rPr>
        <w:t xml:space="preserve"> as “</w:t>
      </w:r>
      <w:r w:rsidR="000F220A">
        <w:rPr>
          <w:lang w:val="en-GB"/>
        </w:rPr>
        <w:t xml:space="preserve">the ability to </w:t>
      </w:r>
      <w:r w:rsidR="00DE7E1B">
        <w:rPr>
          <w:lang w:val="en-GB"/>
        </w:rPr>
        <w:t xml:space="preserve">have control over one’s own </w:t>
      </w:r>
      <w:r w:rsidR="000F220A">
        <w:rPr>
          <w:lang w:val="en-GB"/>
        </w:rPr>
        <w:t>personal data</w:t>
      </w:r>
      <w:r>
        <w:rPr>
          <w:lang w:val="en-GB"/>
        </w:rPr>
        <w:t>”</w:t>
      </w:r>
      <w:r w:rsidR="000F220A">
        <w:rPr>
          <w:lang w:val="en-GB"/>
        </w:rPr>
        <w:t>.</w:t>
      </w:r>
      <w:r w:rsidR="00C179C6">
        <w:rPr>
          <w:lang w:val="en-GB"/>
        </w:rPr>
        <w:t xml:space="preserve"> </w:t>
      </w:r>
      <w:r w:rsidR="00950847">
        <w:rPr>
          <w:lang w:val="en-GB"/>
        </w:rPr>
        <w:t>Although written for a slightly different context, the</w:t>
      </w:r>
      <w:r w:rsidR="00C179C6">
        <w:rPr>
          <w:lang w:val="en-GB"/>
        </w:rPr>
        <w:t xml:space="preserve"> taxonomy of privacy suggested in </w:t>
      </w:r>
      <w:r w:rsidR="00C179C6">
        <w:rPr>
          <w:lang w:val="en-GB"/>
        </w:rPr>
        <w:fldChar w:fldCharType="begin"/>
      </w:r>
      <w:r w:rsidR="00C179C6">
        <w:rPr>
          <w:lang w:val="en-GB"/>
        </w:rPr>
        <w:instrText xml:space="preserve"> REF _Ref522606863 \r \h </w:instrText>
      </w:r>
      <w:r w:rsidR="00C179C6">
        <w:rPr>
          <w:lang w:val="en-GB"/>
        </w:rPr>
      </w:r>
      <w:r w:rsidR="00C179C6">
        <w:rPr>
          <w:lang w:val="en-GB"/>
        </w:rPr>
        <w:fldChar w:fldCharType="separate"/>
      </w:r>
      <w:r w:rsidR="00C179C6">
        <w:rPr>
          <w:lang w:val="en-GB"/>
        </w:rPr>
        <w:t>[4]</w:t>
      </w:r>
      <w:r w:rsidR="00C179C6">
        <w:rPr>
          <w:lang w:val="en-GB"/>
        </w:rPr>
        <w:fldChar w:fldCharType="end"/>
      </w:r>
      <w:r w:rsidR="00950847">
        <w:rPr>
          <w:lang w:val="en-GB"/>
        </w:rPr>
        <w:t xml:space="preserve"> provides a possible detailing of privacy. This taxonomy identifies</w:t>
      </w:r>
      <w:r w:rsidR="00C179C6">
        <w:rPr>
          <w:lang w:val="en-GB"/>
        </w:rPr>
        <w:t xml:space="preserve"> four categories:</w:t>
      </w:r>
    </w:p>
    <w:p w:rsidR="00C179C6" w:rsidRPr="00C179C6" w:rsidRDefault="00C179C6" w:rsidP="00C179C6">
      <w:pPr>
        <w:pStyle w:val="ListParagraph"/>
        <w:numPr>
          <w:ilvl w:val="0"/>
          <w:numId w:val="4"/>
        </w:numPr>
        <w:spacing w:after="0" w:line="240" w:lineRule="auto"/>
        <w:rPr>
          <w:lang w:val="en-GB"/>
        </w:rPr>
      </w:pPr>
      <w:r w:rsidRPr="00C179C6">
        <w:rPr>
          <w:lang w:val="en-GB"/>
        </w:rPr>
        <w:t>Information collection</w:t>
      </w:r>
    </w:p>
    <w:p w:rsidR="00C179C6" w:rsidRPr="00C179C6" w:rsidRDefault="00C179C6" w:rsidP="00C179C6">
      <w:pPr>
        <w:pStyle w:val="ListParagraph"/>
        <w:numPr>
          <w:ilvl w:val="0"/>
          <w:numId w:val="4"/>
        </w:numPr>
        <w:spacing w:after="0" w:line="240" w:lineRule="auto"/>
        <w:rPr>
          <w:lang w:val="en-GB"/>
        </w:rPr>
      </w:pPr>
      <w:r w:rsidRPr="00C179C6">
        <w:rPr>
          <w:lang w:val="en-GB"/>
        </w:rPr>
        <w:t>Information processing</w:t>
      </w:r>
    </w:p>
    <w:p w:rsidR="00C179C6" w:rsidRPr="00C179C6" w:rsidRDefault="00C179C6" w:rsidP="00C179C6">
      <w:pPr>
        <w:pStyle w:val="ListParagraph"/>
        <w:numPr>
          <w:ilvl w:val="0"/>
          <w:numId w:val="4"/>
        </w:numPr>
        <w:spacing w:after="0" w:line="240" w:lineRule="auto"/>
        <w:rPr>
          <w:lang w:val="en-GB"/>
        </w:rPr>
      </w:pPr>
      <w:r w:rsidRPr="00C179C6">
        <w:rPr>
          <w:lang w:val="en-GB"/>
        </w:rPr>
        <w:t>Information dissemination</w:t>
      </w:r>
    </w:p>
    <w:p w:rsidR="00C179C6" w:rsidRPr="00C179C6" w:rsidRDefault="00C179C6" w:rsidP="00C179C6">
      <w:pPr>
        <w:pStyle w:val="ListParagraph"/>
        <w:numPr>
          <w:ilvl w:val="0"/>
          <w:numId w:val="4"/>
        </w:numPr>
        <w:spacing w:after="0" w:line="240" w:lineRule="auto"/>
        <w:rPr>
          <w:lang w:val="en-GB"/>
        </w:rPr>
      </w:pPr>
      <w:r w:rsidRPr="00C179C6">
        <w:rPr>
          <w:lang w:val="en-GB"/>
        </w:rPr>
        <w:t>In</w:t>
      </w:r>
      <w:r w:rsidR="0030261B">
        <w:rPr>
          <w:lang w:val="en-GB"/>
        </w:rPr>
        <w:t>vasion</w:t>
      </w:r>
    </w:p>
    <w:p w:rsidR="00323364" w:rsidRDefault="00323364" w:rsidP="0070051D">
      <w:pPr>
        <w:spacing w:after="0" w:line="240" w:lineRule="auto"/>
        <w:rPr>
          <w:lang w:val="en-GB"/>
        </w:rPr>
      </w:pPr>
    </w:p>
    <w:p w:rsidR="00323364" w:rsidRDefault="004B3939" w:rsidP="0070051D">
      <w:pPr>
        <w:spacing w:after="0" w:line="240" w:lineRule="auto"/>
        <w:rPr>
          <w:lang w:val="en-GB"/>
        </w:rPr>
      </w:pPr>
      <w:r>
        <w:rPr>
          <w:lang w:val="en-GB"/>
        </w:rPr>
        <w:fldChar w:fldCharType="begin"/>
      </w:r>
      <w:r>
        <w:rPr>
          <w:lang w:val="en-GB"/>
        </w:rPr>
        <w:instrText xml:space="preserve"> REF _Ref517770385 \h </w:instrText>
      </w:r>
      <w:r>
        <w:rPr>
          <w:lang w:val="en-GB"/>
        </w:rPr>
      </w:r>
      <w:r>
        <w:rPr>
          <w:lang w:val="en-GB"/>
        </w:rPr>
        <w:fldChar w:fldCharType="separate"/>
      </w:r>
      <w:r w:rsidRPr="004B3939">
        <w:rPr>
          <w:lang w:val="en-GB"/>
        </w:rPr>
        <w:t xml:space="preserve">Figure </w:t>
      </w:r>
      <w:r w:rsidRPr="004B3939">
        <w:rPr>
          <w:noProof/>
          <w:lang w:val="en-GB"/>
        </w:rPr>
        <w:t>2</w:t>
      </w:r>
      <w:r>
        <w:rPr>
          <w:lang w:val="en-GB"/>
        </w:rPr>
        <w:fldChar w:fldCharType="end"/>
      </w:r>
      <w:r>
        <w:rPr>
          <w:lang w:val="en-GB"/>
        </w:rPr>
        <w:t xml:space="preserve"> </w:t>
      </w:r>
      <w:r w:rsidR="00323364">
        <w:rPr>
          <w:lang w:val="en-GB"/>
        </w:rPr>
        <w:t xml:space="preserve">summarizes the above, in the form of </w:t>
      </w:r>
      <w:r>
        <w:rPr>
          <w:lang w:val="en-GB"/>
        </w:rPr>
        <w:t xml:space="preserve">a proposed taxonomy for </w:t>
      </w:r>
      <w:r w:rsidR="00D35687">
        <w:rPr>
          <w:lang w:val="en-GB"/>
        </w:rPr>
        <w:t>the SPD trust case.</w:t>
      </w:r>
    </w:p>
    <w:p w:rsidR="004B3939" w:rsidRDefault="004B3939" w:rsidP="0070051D">
      <w:pPr>
        <w:spacing w:after="0" w:line="240" w:lineRule="auto"/>
        <w:rPr>
          <w:lang w:val="en-GB"/>
        </w:rPr>
      </w:pPr>
    </w:p>
    <w:p w:rsidR="004B3939" w:rsidRDefault="00D56611" w:rsidP="004B3939">
      <w:pPr>
        <w:keepNext/>
        <w:spacing w:after="0" w:line="240" w:lineRule="auto"/>
        <w:jc w:val="center"/>
      </w:pPr>
      <w:r w:rsidRPr="00D56611">
        <w:rPr>
          <w:noProof/>
          <w:lang w:eastAsia="nb-NO"/>
        </w:rPr>
        <w:drawing>
          <wp:inline distT="0" distB="0" distL="0" distR="0" wp14:anchorId="40F5F607" wp14:editId="1073990C">
            <wp:extent cx="5760720" cy="438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383405"/>
                    </a:xfrm>
                    <a:prstGeom prst="rect">
                      <a:avLst/>
                    </a:prstGeom>
                  </pic:spPr>
                </pic:pic>
              </a:graphicData>
            </a:graphic>
          </wp:inline>
        </w:drawing>
      </w:r>
    </w:p>
    <w:p w:rsidR="004B3939" w:rsidRPr="004B3939" w:rsidRDefault="004B3939" w:rsidP="004B3939">
      <w:pPr>
        <w:pStyle w:val="Caption"/>
        <w:jc w:val="center"/>
        <w:rPr>
          <w:color w:val="auto"/>
          <w:lang w:val="en-GB"/>
        </w:rPr>
      </w:pPr>
      <w:bookmarkStart w:id="2" w:name="_Ref517770385"/>
      <w:r w:rsidRPr="004B3939">
        <w:rPr>
          <w:color w:val="auto"/>
          <w:lang w:val="en-GB"/>
        </w:rPr>
        <w:t xml:space="preserve">Figure </w:t>
      </w:r>
      <w:r w:rsidRPr="004B3939">
        <w:rPr>
          <w:color w:val="auto"/>
        </w:rPr>
        <w:fldChar w:fldCharType="begin"/>
      </w:r>
      <w:r w:rsidRPr="004B3939">
        <w:rPr>
          <w:color w:val="auto"/>
          <w:lang w:val="en-GB"/>
        </w:rPr>
        <w:instrText xml:space="preserve"> SEQ Figure \* ARABIC </w:instrText>
      </w:r>
      <w:r w:rsidRPr="004B3939">
        <w:rPr>
          <w:color w:val="auto"/>
        </w:rPr>
        <w:fldChar w:fldCharType="separate"/>
      </w:r>
      <w:r w:rsidRPr="004B3939">
        <w:rPr>
          <w:noProof/>
          <w:color w:val="auto"/>
          <w:lang w:val="en-GB"/>
        </w:rPr>
        <w:t>2</w:t>
      </w:r>
      <w:r w:rsidRPr="004B3939">
        <w:rPr>
          <w:color w:val="auto"/>
        </w:rPr>
        <w:fldChar w:fldCharType="end"/>
      </w:r>
      <w:bookmarkEnd w:id="2"/>
      <w:r w:rsidRPr="004B3939">
        <w:rPr>
          <w:color w:val="auto"/>
          <w:lang w:val="en-GB"/>
        </w:rPr>
        <w:t>: A proposed taxonomy for SPD.</w:t>
      </w:r>
    </w:p>
    <w:p w:rsidR="00323364" w:rsidRDefault="00323364" w:rsidP="0070051D">
      <w:pPr>
        <w:spacing w:after="0" w:line="240" w:lineRule="auto"/>
        <w:rPr>
          <w:lang w:val="en-GB"/>
        </w:rPr>
      </w:pPr>
    </w:p>
    <w:p w:rsidR="001A2AD9" w:rsidRDefault="001A2AD9" w:rsidP="0070051D">
      <w:pPr>
        <w:spacing w:after="0" w:line="240" w:lineRule="auto"/>
        <w:rPr>
          <w:lang w:val="en-GB"/>
        </w:rPr>
      </w:pPr>
      <w:r>
        <w:rPr>
          <w:lang w:val="en-GB"/>
        </w:rPr>
        <w:t xml:space="preserve">The </w:t>
      </w:r>
      <w:r w:rsidR="004D7A34">
        <w:rPr>
          <w:lang w:val="en-GB"/>
        </w:rPr>
        <w:t>following</w:t>
      </w:r>
      <w:r w:rsidR="00623A08">
        <w:rPr>
          <w:lang w:val="en-GB"/>
        </w:rPr>
        <w:t xml:space="preserve"> </w:t>
      </w:r>
      <w:r>
        <w:rPr>
          <w:lang w:val="en-GB"/>
        </w:rPr>
        <w:t xml:space="preserve">definitions </w:t>
      </w:r>
      <w:proofErr w:type="gramStart"/>
      <w:r w:rsidR="00532196">
        <w:rPr>
          <w:lang w:val="en-GB"/>
        </w:rPr>
        <w:t>are</w:t>
      </w:r>
      <w:r w:rsidR="00623A08">
        <w:rPr>
          <w:lang w:val="en-GB"/>
        </w:rPr>
        <w:t xml:space="preserve"> </w:t>
      </w:r>
      <w:r w:rsidR="00450618">
        <w:rPr>
          <w:lang w:val="en-GB"/>
        </w:rPr>
        <w:t>based</w:t>
      </w:r>
      <w:proofErr w:type="gramEnd"/>
      <w:r w:rsidR="00450618">
        <w:rPr>
          <w:lang w:val="en-GB"/>
        </w:rPr>
        <w:t xml:space="preserve"> on </w:t>
      </w:r>
      <w:r w:rsidR="00450618">
        <w:rPr>
          <w:lang w:val="en-GB"/>
        </w:rPr>
        <w:fldChar w:fldCharType="begin"/>
      </w:r>
      <w:r w:rsidR="00450618">
        <w:rPr>
          <w:lang w:val="en-GB"/>
        </w:rPr>
        <w:instrText xml:space="preserve"> REF _Ref517766234 \r \h </w:instrText>
      </w:r>
      <w:r w:rsidR="00450618">
        <w:rPr>
          <w:lang w:val="en-GB"/>
        </w:rPr>
      </w:r>
      <w:r w:rsidR="00450618">
        <w:rPr>
          <w:lang w:val="en-GB"/>
        </w:rPr>
        <w:fldChar w:fldCharType="separate"/>
      </w:r>
      <w:r w:rsidR="00450618">
        <w:rPr>
          <w:lang w:val="en-GB"/>
        </w:rPr>
        <w:t>[1]</w:t>
      </w:r>
      <w:r w:rsidR="00450618">
        <w:rPr>
          <w:lang w:val="en-GB"/>
        </w:rPr>
        <w:fldChar w:fldCharType="end"/>
      </w:r>
      <w:r w:rsidR="004D7A34">
        <w:rPr>
          <w:lang w:val="en-GB"/>
        </w:rPr>
        <w:t>,</w:t>
      </w:r>
      <w:r w:rsidR="00450618">
        <w:rPr>
          <w:lang w:val="en-GB"/>
        </w:rPr>
        <w:t xml:space="preserve"> </w:t>
      </w:r>
      <w:r w:rsidR="00450618">
        <w:rPr>
          <w:lang w:val="en-GB"/>
        </w:rPr>
        <w:fldChar w:fldCharType="begin"/>
      </w:r>
      <w:r w:rsidR="00450618">
        <w:rPr>
          <w:lang w:val="en-GB"/>
        </w:rPr>
        <w:instrText xml:space="preserve"> REF _Ref517774003 \r \h </w:instrText>
      </w:r>
      <w:r w:rsidR="00450618">
        <w:rPr>
          <w:lang w:val="en-GB"/>
        </w:rPr>
      </w:r>
      <w:r w:rsidR="00450618">
        <w:rPr>
          <w:lang w:val="en-GB"/>
        </w:rPr>
        <w:fldChar w:fldCharType="separate"/>
      </w:r>
      <w:r w:rsidR="00450618">
        <w:rPr>
          <w:lang w:val="en-GB"/>
        </w:rPr>
        <w:t>[2]</w:t>
      </w:r>
      <w:r w:rsidR="00450618">
        <w:rPr>
          <w:lang w:val="en-GB"/>
        </w:rPr>
        <w:fldChar w:fldCharType="end"/>
      </w:r>
      <w:r w:rsidR="00532196">
        <w:rPr>
          <w:lang w:val="en-GB"/>
        </w:rPr>
        <w:t>,</w:t>
      </w:r>
      <w:r w:rsidR="004D7A34">
        <w:rPr>
          <w:lang w:val="en-GB"/>
        </w:rPr>
        <w:t xml:space="preserve"> </w:t>
      </w:r>
      <w:r w:rsidR="004D7A34">
        <w:rPr>
          <w:lang w:val="en-GB"/>
        </w:rPr>
        <w:fldChar w:fldCharType="begin"/>
      </w:r>
      <w:r w:rsidR="004D7A34">
        <w:rPr>
          <w:lang w:val="en-GB"/>
        </w:rPr>
        <w:instrText xml:space="preserve"> REF _Ref522608032 \r \h </w:instrText>
      </w:r>
      <w:r w:rsidR="004D7A34">
        <w:rPr>
          <w:lang w:val="en-GB"/>
        </w:rPr>
      </w:r>
      <w:r w:rsidR="004D7A34">
        <w:rPr>
          <w:lang w:val="en-GB"/>
        </w:rPr>
        <w:fldChar w:fldCharType="separate"/>
      </w:r>
      <w:r w:rsidR="004D7A34">
        <w:rPr>
          <w:lang w:val="en-GB"/>
        </w:rPr>
        <w:t>[3]</w:t>
      </w:r>
      <w:r w:rsidR="004D7A34">
        <w:rPr>
          <w:lang w:val="en-GB"/>
        </w:rPr>
        <w:fldChar w:fldCharType="end"/>
      </w:r>
      <w:r w:rsidR="006551C5">
        <w:rPr>
          <w:lang w:val="en-GB"/>
        </w:rPr>
        <w:t>,</w:t>
      </w:r>
      <w:r w:rsidR="004D7A34">
        <w:rPr>
          <w:lang w:val="en-GB"/>
        </w:rPr>
        <w:t xml:space="preserve"> </w:t>
      </w:r>
      <w:r w:rsidR="004D7A34">
        <w:rPr>
          <w:lang w:val="en-GB"/>
        </w:rPr>
        <w:fldChar w:fldCharType="begin"/>
      </w:r>
      <w:r w:rsidR="004D7A34">
        <w:rPr>
          <w:lang w:val="en-GB"/>
        </w:rPr>
        <w:instrText xml:space="preserve"> REF _Ref522606863 \r \h </w:instrText>
      </w:r>
      <w:r w:rsidR="004D7A34">
        <w:rPr>
          <w:lang w:val="en-GB"/>
        </w:rPr>
      </w:r>
      <w:r w:rsidR="004D7A34">
        <w:rPr>
          <w:lang w:val="en-GB"/>
        </w:rPr>
        <w:fldChar w:fldCharType="separate"/>
      </w:r>
      <w:r w:rsidR="004D7A34">
        <w:rPr>
          <w:lang w:val="en-GB"/>
        </w:rPr>
        <w:t>[4]</w:t>
      </w:r>
      <w:r w:rsidR="004D7A34">
        <w:rPr>
          <w:lang w:val="en-GB"/>
        </w:rPr>
        <w:fldChar w:fldCharType="end"/>
      </w:r>
      <w:r w:rsidR="006551C5">
        <w:rPr>
          <w:lang w:val="en-GB"/>
        </w:rPr>
        <w:t xml:space="preserve"> and </w:t>
      </w:r>
      <w:r w:rsidR="006551C5">
        <w:rPr>
          <w:lang w:val="en-GB"/>
        </w:rPr>
        <w:fldChar w:fldCharType="begin"/>
      </w:r>
      <w:r w:rsidR="006551C5">
        <w:rPr>
          <w:lang w:val="en-GB"/>
        </w:rPr>
        <w:instrText xml:space="preserve"> REF _Ref524513709 \r \h </w:instrText>
      </w:r>
      <w:r w:rsidR="006551C5">
        <w:rPr>
          <w:lang w:val="en-GB"/>
        </w:rPr>
      </w:r>
      <w:r w:rsidR="006551C5">
        <w:rPr>
          <w:lang w:val="en-GB"/>
        </w:rPr>
        <w:fldChar w:fldCharType="separate"/>
      </w:r>
      <w:r w:rsidR="006551C5">
        <w:rPr>
          <w:lang w:val="en-GB"/>
        </w:rPr>
        <w:t>[5]</w:t>
      </w:r>
      <w:r w:rsidR="006551C5">
        <w:rPr>
          <w:lang w:val="en-GB"/>
        </w:rPr>
        <w:fldChar w:fldCharType="end"/>
      </w:r>
      <w:r w:rsidR="006551C5">
        <w:rPr>
          <w:lang w:val="en-GB"/>
        </w:rPr>
        <w:t>,</w:t>
      </w:r>
      <w:r w:rsidR="00532196">
        <w:rPr>
          <w:lang w:val="en-GB"/>
        </w:rPr>
        <w:t xml:space="preserve"> with some a</w:t>
      </w:r>
      <w:r w:rsidR="006551C5">
        <w:rPr>
          <w:lang w:val="en-GB"/>
        </w:rPr>
        <w:t>djustments and adaptations</w:t>
      </w:r>
      <w:r>
        <w:rPr>
          <w:lang w:val="en-GB"/>
        </w:rPr>
        <w:t>:</w:t>
      </w:r>
    </w:p>
    <w:p w:rsidR="001A2AD9" w:rsidRDefault="001A2AD9" w:rsidP="0070051D">
      <w:pPr>
        <w:spacing w:after="0" w:line="240" w:lineRule="auto"/>
        <w:rPr>
          <w:lang w:val="en-GB"/>
        </w:rPr>
      </w:pPr>
    </w:p>
    <w:tbl>
      <w:tblPr>
        <w:tblStyle w:val="TableGrid"/>
        <w:tblW w:w="0" w:type="auto"/>
        <w:tblLook w:val="04A0" w:firstRow="1" w:lastRow="0" w:firstColumn="1" w:lastColumn="0" w:noHBand="0" w:noVBand="1"/>
      </w:tblPr>
      <w:tblGrid>
        <w:gridCol w:w="2689"/>
        <w:gridCol w:w="5953"/>
      </w:tblGrid>
      <w:tr w:rsidR="0045544E" w:rsidTr="009D2670">
        <w:trPr>
          <w:tblHeader/>
        </w:trPr>
        <w:tc>
          <w:tcPr>
            <w:tcW w:w="2689" w:type="dxa"/>
            <w:tcBorders>
              <w:top w:val="single" w:sz="12" w:space="0" w:color="auto"/>
              <w:left w:val="single" w:sz="12" w:space="0" w:color="auto"/>
              <w:bottom w:val="single" w:sz="12" w:space="0" w:color="auto"/>
            </w:tcBorders>
            <w:shd w:val="clear" w:color="auto" w:fill="BFBFBF" w:themeFill="background1" w:themeFillShade="BF"/>
          </w:tcPr>
          <w:p w:rsidR="0045544E" w:rsidRPr="0045544E" w:rsidRDefault="0045544E" w:rsidP="0070051D">
            <w:pPr>
              <w:rPr>
                <w:b/>
                <w:lang w:val="en-GB"/>
              </w:rPr>
            </w:pPr>
            <w:r w:rsidRPr="0045544E">
              <w:rPr>
                <w:b/>
                <w:lang w:val="en-GB"/>
              </w:rPr>
              <w:t>Term</w:t>
            </w:r>
          </w:p>
        </w:tc>
        <w:tc>
          <w:tcPr>
            <w:tcW w:w="5953" w:type="dxa"/>
            <w:tcBorders>
              <w:top w:val="single" w:sz="12" w:space="0" w:color="auto"/>
              <w:bottom w:val="single" w:sz="12" w:space="0" w:color="auto"/>
              <w:right w:val="single" w:sz="12" w:space="0" w:color="auto"/>
            </w:tcBorders>
            <w:shd w:val="clear" w:color="auto" w:fill="BFBFBF" w:themeFill="background1" w:themeFillShade="BF"/>
          </w:tcPr>
          <w:p w:rsidR="0045544E" w:rsidRPr="0045544E" w:rsidRDefault="0045544E" w:rsidP="0070051D">
            <w:pPr>
              <w:rPr>
                <w:b/>
                <w:lang w:val="en-GB"/>
              </w:rPr>
            </w:pPr>
            <w:r w:rsidRPr="0045544E">
              <w:rPr>
                <w:b/>
                <w:lang w:val="en-GB"/>
              </w:rPr>
              <w:t>Definition</w:t>
            </w:r>
          </w:p>
        </w:tc>
      </w:tr>
      <w:tr w:rsidR="003C415B" w:rsidTr="009D2670">
        <w:tc>
          <w:tcPr>
            <w:tcW w:w="8642" w:type="dxa"/>
            <w:gridSpan w:val="2"/>
            <w:tcBorders>
              <w:top w:val="single" w:sz="12" w:space="0" w:color="auto"/>
              <w:left w:val="single" w:sz="12" w:space="0" w:color="auto"/>
              <w:right w:val="single" w:sz="12" w:space="0" w:color="auto"/>
            </w:tcBorders>
          </w:tcPr>
          <w:p w:rsidR="003C415B" w:rsidRPr="003C415B" w:rsidRDefault="003C415B" w:rsidP="003C415B">
            <w:pPr>
              <w:autoSpaceDE w:val="0"/>
              <w:autoSpaceDN w:val="0"/>
              <w:adjustRightInd w:val="0"/>
              <w:jc w:val="center"/>
              <w:rPr>
                <w:b/>
                <w:lang w:val="en-GB"/>
              </w:rPr>
            </w:pPr>
            <w:r w:rsidRPr="003C415B">
              <w:rPr>
                <w:b/>
                <w:lang w:val="en-GB"/>
              </w:rPr>
              <w:t>Security</w:t>
            </w:r>
          </w:p>
        </w:tc>
      </w:tr>
      <w:tr w:rsidR="0045544E" w:rsidRPr="00C66709" w:rsidTr="009D2670">
        <w:tc>
          <w:tcPr>
            <w:tcW w:w="2689" w:type="dxa"/>
            <w:tcBorders>
              <w:left w:val="single" w:sz="12" w:space="0" w:color="auto"/>
            </w:tcBorders>
          </w:tcPr>
          <w:p w:rsidR="0045544E" w:rsidRDefault="006B5710" w:rsidP="0070051D">
            <w:pPr>
              <w:rPr>
                <w:lang w:val="en-GB"/>
              </w:rPr>
            </w:pPr>
            <w:r>
              <w:rPr>
                <w:lang w:val="en-GB"/>
              </w:rPr>
              <w:t>Confidentiality</w:t>
            </w:r>
          </w:p>
        </w:tc>
        <w:tc>
          <w:tcPr>
            <w:tcW w:w="5953" w:type="dxa"/>
            <w:tcBorders>
              <w:right w:val="single" w:sz="12" w:space="0" w:color="auto"/>
            </w:tcBorders>
          </w:tcPr>
          <w:p w:rsidR="0045544E" w:rsidRDefault="00577831" w:rsidP="00577831">
            <w:pPr>
              <w:autoSpaceDE w:val="0"/>
              <w:autoSpaceDN w:val="0"/>
              <w:adjustRightInd w:val="0"/>
              <w:rPr>
                <w:lang w:val="en-GB"/>
              </w:rPr>
            </w:pPr>
            <w:r w:rsidRPr="004E57B9">
              <w:rPr>
                <w:lang w:val="en-GB"/>
              </w:rPr>
              <w:t>The absence of unauthorized disclosure of information</w:t>
            </w:r>
            <w:r w:rsidR="00275C03">
              <w:rPr>
                <w:lang w:val="en-GB"/>
              </w:rPr>
              <w:t>.</w:t>
            </w:r>
          </w:p>
        </w:tc>
      </w:tr>
      <w:tr w:rsidR="0045544E" w:rsidRPr="00C66709" w:rsidTr="009D2670">
        <w:tc>
          <w:tcPr>
            <w:tcW w:w="2689" w:type="dxa"/>
            <w:tcBorders>
              <w:left w:val="single" w:sz="12" w:space="0" w:color="auto"/>
            </w:tcBorders>
          </w:tcPr>
          <w:p w:rsidR="0045544E" w:rsidRDefault="006B5710" w:rsidP="0070051D">
            <w:pPr>
              <w:rPr>
                <w:lang w:val="en-GB"/>
              </w:rPr>
            </w:pPr>
            <w:r>
              <w:rPr>
                <w:lang w:val="en-GB"/>
              </w:rPr>
              <w:t>Integrity (security)</w:t>
            </w:r>
          </w:p>
        </w:tc>
        <w:tc>
          <w:tcPr>
            <w:tcW w:w="5953" w:type="dxa"/>
            <w:tcBorders>
              <w:right w:val="single" w:sz="12" w:space="0" w:color="auto"/>
            </w:tcBorders>
          </w:tcPr>
          <w:p w:rsidR="0045544E" w:rsidRDefault="005D6129" w:rsidP="009C0752">
            <w:pPr>
              <w:rPr>
                <w:lang w:val="en-GB"/>
              </w:rPr>
            </w:pPr>
            <w:r w:rsidRPr="004E57B9">
              <w:rPr>
                <w:lang w:val="en-GB"/>
              </w:rPr>
              <w:t xml:space="preserve">Absence of </w:t>
            </w:r>
            <w:r w:rsidR="009C0752">
              <w:rPr>
                <w:lang w:val="en-GB"/>
              </w:rPr>
              <w:t>unauthorized</w:t>
            </w:r>
            <w:r w:rsidRPr="004E57B9">
              <w:rPr>
                <w:lang w:val="en-GB"/>
              </w:rPr>
              <w:t xml:space="preserve"> system alterations</w:t>
            </w:r>
            <w:r w:rsidR="00275C03">
              <w:rPr>
                <w:lang w:val="en-GB"/>
              </w:rPr>
              <w:t>.</w:t>
            </w:r>
          </w:p>
          <w:p w:rsidR="003B1048" w:rsidRPr="005D6129" w:rsidRDefault="003B1048" w:rsidP="003B1048">
            <w:pPr>
              <w:rPr>
                <w:lang w:val="en-GB"/>
              </w:rPr>
            </w:pPr>
            <w:r w:rsidRPr="00C66709">
              <w:rPr>
                <w:b/>
                <w:sz w:val="20"/>
                <w:u w:val="single"/>
                <w:lang w:val="en-GB"/>
              </w:rPr>
              <w:t>Note:</w:t>
            </w:r>
            <w:r w:rsidRPr="00C66709">
              <w:rPr>
                <w:sz w:val="20"/>
                <w:lang w:val="en-GB"/>
              </w:rPr>
              <w:t xml:space="preserve"> Unauthorized system alterations can be internal or external, as well as intentional or unintentional.</w:t>
            </w:r>
          </w:p>
        </w:tc>
      </w:tr>
      <w:tr w:rsidR="00D56611" w:rsidRPr="00C66709" w:rsidTr="009D2670">
        <w:tc>
          <w:tcPr>
            <w:tcW w:w="2689" w:type="dxa"/>
            <w:tcBorders>
              <w:left w:val="single" w:sz="12" w:space="0" w:color="auto"/>
            </w:tcBorders>
          </w:tcPr>
          <w:p w:rsidR="00D56611" w:rsidRDefault="00D56611" w:rsidP="00D56611">
            <w:pPr>
              <w:rPr>
                <w:lang w:val="en-GB"/>
              </w:rPr>
            </w:pPr>
            <w:r>
              <w:rPr>
                <w:lang w:val="en-GB"/>
              </w:rPr>
              <w:lastRenderedPageBreak/>
              <w:t>Availability (security)</w:t>
            </w:r>
          </w:p>
        </w:tc>
        <w:tc>
          <w:tcPr>
            <w:tcW w:w="5953" w:type="dxa"/>
            <w:tcBorders>
              <w:right w:val="single" w:sz="12" w:space="0" w:color="auto"/>
            </w:tcBorders>
          </w:tcPr>
          <w:p w:rsidR="00D56611" w:rsidRPr="003B635D" w:rsidRDefault="00D56611" w:rsidP="00D56611">
            <w:pPr>
              <w:rPr>
                <w:lang w:val="en-GB"/>
              </w:rPr>
            </w:pPr>
            <w:r w:rsidRPr="00DF6316">
              <w:rPr>
                <w:lang w:val="en-GB"/>
              </w:rPr>
              <w:t>Availability for authorized actions only</w:t>
            </w:r>
            <w:r>
              <w:rPr>
                <w:lang w:val="en-GB"/>
              </w:rPr>
              <w:t>.</w:t>
            </w:r>
          </w:p>
        </w:tc>
      </w:tr>
      <w:tr w:rsidR="00D56611" w:rsidRPr="00C66709" w:rsidTr="009D2670">
        <w:tc>
          <w:tcPr>
            <w:tcW w:w="2689" w:type="dxa"/>
            <w:tcBorders>
              <w:left w:val="single" w:sz="12" w:space="0" w:color="auto"/>
            </w:tcBorders>
          </w:tcPr>
          <w:p w:rsidR="00D56611" w:rsidRDefault="00D56611" w:rsidP="0070051D">
            <w:pPr>
              <w:rPr>
                <w:lang w:val="en-GB"/>
              </w:rPr>
            </w:pPr>
            <w:r>
              <w:rPr>
                <w:lang w:val="en-GB"/>
              </w:rPr>
              <w:t>Authenticity</w:t>
            </w:r>
          </w:p>
        </w:tc>
        <w:tc>
          <w:tcPr>
            <w:tcW w:w="5953" w:type="dxa"/>
            <w:tcBorders>
              <w:right w:val="single" w:sz="12" w:space="0" w:color="auto"/>
            </w:tcBorders>
          </w:tcPr>
          <w:p w:rsidR="00D56611" w:rsidRPr="004E57B9" w:rsidRDefault="006551C5" w:rsidP="006551C5">
            <w:pPr>
              <w:rPr>
                <w:lang w:val="en-GB"/>
              </w:rPr>
            </w:pPr>
            <w:r w:rsidRPr="006551C5">
              <w:rPr>
                <w:lang w:val="en-GB"/>
              </w:rPr>
              <w:t xml:space="preserve">The property of being genuine and being able to be </w:t>
            </w:r>
            <w:proofErr w:type="gramStart"/>
            <w:r w:rsidRPr="006551C5">
              <w:rPr>
                <w:lang w:val="en-GB"/>
              </w:rPr>
              <w:t>verified</w:t>
            </w:r>
            <w:proofErr w:type="gramEnd"/>
            <w:r w:rsidRPr="006551C5">
              <w:rPr>
                <w:lang w:val="en-GB"/>
              </w:rPr>
              <w:t xml:space="preserve"> and trusted; confidence in the validity of a transmis</w:t>
            </w:r>
            <w:r>
              <w:rPr>
                <w:lang w:val="en-GB"/>
              </w:rPr>
              <w:t>s</w:t>
            </w:r>
            <w:r w:rsidRPr="006551C5">
              <w:rPr>
                <w:lang w:val="en-GB"/>
              </w:rPr>
              <w:t>ion, a message, or message originator. This means verifying that users are who they say they are and that each input arriving at the system came from a trusted source.</w:t>
            </w:r>
          </w:p>
        </w:tc>
      </w:tr>
      <w:tr w:rsidR="0045544E" w:rsidRPr="00C66709" w:rsidTr="009D2670">
        <w:tc>
          <w:tcPr>
            <w:tcW w:w="2689" w:type="dxa"/>
            <w:tcBorders>
              <w:left w:val="single" w:sz="12" w:space="0" w:color="auto"/>
              <w:bottom w:val="single" w:sz="12" w:space="0" w:color="auto"/>
            </w:tcBorders>
          </w:tcPr>
          <w:p w:rsidR="0045544E" w:rsidRDefault="00D56611" w:rsidP="0070051D">
            <w:pPr>
              <w:rPr>
                <w:lang w:val="en-GB"/>
              </w:rPr>
            </w:pPr>
            <w:r>
              <w:rPr>
                <w:lang w:val="en-GB"/>
              </w:rPr>
              <w:t>Accountability</w:t>
            </w:r>
          </w:p>
        </w:tc>
        <w:tc>
          <w:tcPr>
            <w:tcW w:w="5953" w:type="dxa"/>
            <w:tcBorders>
              <w:bottom w:val="single" w:sz="12" w:space="0" w:color="auto"/>
              <w:right w:val="single" w:sz="12" w:space="0" w:color="auto"/>
            </w:tcBorders>
          </w:tcPr>
          <w:p w:rsidR="0045544E" w:rsidRPr="006551C5" w:rsidRDefault="006551C5" w:rsidP="003B635D">
            <w:pPr>
              <w:rPr>
                <w:lang w:val="en-GB"/>
              </w:rPr>
            </w:pPr>
            <w:r w:rsidRPr="006551C5">
              <w:rPr>
                <w:lang w:val="en-GB"/>
              </w:rPr>
              <w:t xml:space="preserve">The security goal that generates the requirement for actions of an entity to </w:t>
            </w:r>
            <w:proofErr w:type="gramStart"/>
            <w:r w:rsidRPr="006551C5">
              <w:rPr>
                <w:lang w:val="en-GB"/>
              </w:rPr>
              <w:t>be traced</w:t>
            </w:r>
            <w:proofErr w:type="gramEnd"/>
            <w:r w:rsidRPr="006551C5">
              <w:rPr>
                <w:lang w:val="en-GB"/>
              </w:rPr>
              <w:t xml:space="preserve"> uniquely to that entity. This supports nonrepudiation, deterrence, fault isolation, intrusion detection and prevention, and after-action recovery and legal action. Because truly secure systems are not yet an achievable goal, we must keep records of their activities to permit later forensic analysis to trace security breaches or to aid in transaction disputes.</w:t>
            </w:r>
          </w:p>
        </w:tc>
      </w:tr>
      <w:tr w:rsidR="003C415B" w:rsidTr="00684413">
        <w:tc>
          <w:tcPr>
            <w:tcW w:w="8642" w:type="dxa"/>
            <w:gridSpan w:val="2"/>
            <w:tcBorders>
              <w:top w:val="single" w:sz="12" w:space="0" w:color="auto"/>
              <w:left w:val="single" w:sz="12" w:space="0" w:color="auto"/>
              <w:bottom w:val="single" w:sz="4" w:space="0" w:color="auto"/>
              <w:right w:val="single" w:sz="12" w:space="0" w:color="auto"/>
            </w:tcBorders>
          </w:tcPr>
          <w:p w:rsidR="003C415B" w:rsidRPr="003C415B" w:rsidRDefault="003C415B" w:rsidP="003C415B">
            <w:pPr>
              <w:jc w:val="center"/>
              <w:rPr>
                <w:b/>
                <w:lang w:val="en-GB"/>
              </w:rPr>
            </w:pPr>
            <w:r w:rsidRPr="003C415B">
              <w:rPr>
                <w:b/>
                <w:lang w:val="en-GB"/>
              </w:rPr>
              <w:t>Privacy</w:t>
            </w:r>
          </w:p>
        </w:tc>
      </w:tr>
      <w:tr w:rsidR="006B5710" w:rsidRPr="00C66709" w:rsidTr="00C84C15">
        <w:tc>
          <w:tcPr>
            <w:tcW w:w="2689" w:type="dxa"/>
            <w:tcBorders>
              <w:left w:val="single" w:sz="12" w:space="0" w:color="auto"/>
              <w:bottom w:val="single" w:sz="4" w:space="0" w:color="auto"/>
              <w:right w:val="single" w:sz="4" w:space="0" w:color="auto"/>
            </w:tcBorders>
          </w:tcPr>
          <w:p w:rsidR="006B5710" w:rsidRDefault="00C814CB" w:rsidP="0070051D">
            <w:pPr>
              <w:rPr>
                <w:lang w:val="en-GB"/>
              </w:rPr>
            </w:pPr>
            <w:r>
              <w:rPr>
                <w:lang w:val="en-GB"/>
              </w:rPr>
              <w:t>Controlled collection</w:t>
            </w:r>
          </w:p>
        </w:tc>
        <w:tc>
          <w:tcPr>
            <w:tcW w:w="5953" w:type="dxa"/>
            <w:tcBorders>
              <w:left w:val="single" w:sz="4" w:space="0" w:color="auto"/>
              <w:bottom w:val="single" w:sz="4" w:space="0" w:color="auto"/>
              <w:right w:val="single" w:sz="12" w:space="0" w:color="auto"/>
            </w:tcBorders>
          </w:tcPr>
          <w:p w:rsidR="006B5710" w:rsidRDefault="000145EB" w:rsidP="003D4980">
            <w:pPr>
              <w:rPr>
                <w:lang w:val="en-GB"/>
              </w:rPr>
            </w:pPr>
            <w:r>
              <w:rPr>
                <w:lang w:val="en-GB"/>
              </w:rPr>
              <w:t>The individual has control on what, and how, personal information is collected.</w:t>
            </w:r>
          </w:p>
        </w:tc>
      </w:tr>
      <w:tr w:rsidR="00684413" w:rsidRPr="00C66709" w:rsidTr="00C84C15">
        <w:tc>
          <w:tcPr>
            <w:tcW w:w="2689" w:type="dxa"/>
            <w:tcBorders>
              <w:left w:val="single" w:sz="12" w:space="0" w:color="auto"/>
              <w:bottom w:val="single" w:sz="4" w:space="0" w:color="auto"/>
              <w:right w:val="single" w:sz="4" w:space="0" w:color="auto"/>
            </w:tcBorders>
          </w:tcPr>
          <w:p w:rsidR="00684413" w:rsidRDefault="00BE7457" w:rsidP="0070051D">
            <w:pPr>
              <w:rPr>
                <w:lang w:val="en-GB"/>
              </w:rPr>
            </w:pPr>
            <w:r>
              <w:rPr>
                <w:lang w:val="en-GB"/>
              </w:rPr>
              <w:t>Controlled processing</w:t>
            </w:r>
          </w:p>
        </w:tc>
        <w:tc>
          <w:tcPr>
            <w:tcW w:w="5953" w:type="dxa"/>
            <w:tcBorders>
              <w:left w:val="single" w:sz="4" w:space="0" w:color="auto"/>
              <w:bottom w:val="single" w:sz="4" w:space="0" w:color="auto"/>
              <w:right w:val="single" w:sz="12" w:space="0" w:color="auto"/>
            </w:tcBorders>
          </w:tcPr>
          <w:p w:rsidR="00684413" w:rsidRDefault="000145EB" w:rsidP="000145EB">
            <w:pPr>
              <w:rPr>
                <w:lang w:val="en-GB"/>
              </w:rPr>
            </w:pPr>
            <w:r>
              <w:rPr>
                <w:lang w:val="en-GB"/>
              </w:rPr>
              <w:t>The individual has control on how, and for what purpose, personal information is used.</w:t>
            </w:r>
          </w:p>
        </w:tc>
      </w:tr>
      <w:tr w:rsidR="00684413" w:rsidRPr="00C66709" w:rsidTr="00C84C15">
        <w:tc>
          <w:tcPr>
            <w:tcW w:w="2689" w:type="dxa"/>
            <w:tcBorders>
              <w:left w:val="single" w:sz="12" w:space="0" w:color="auto"/>
              <w:bottom w:val="single" w:sz="4" w:space="0" w:color="auto"/>
              <w:right w:val="single" w:sz="4" w:space="0" w:color="auto"/>
            </w:tcBorders>
          </w:tcPr>
          <w:p w:rsidR="00684413" w:rsidRDefault="00BE7457" w:rsidP="0070051D">
            <w:pPr>
              <w:rPr>
                <w:lang w:val="en-GB"/>
              </w:rPr>
            </w:pPr>
            <w:r>
              <w:rPr>
                <w:lang w:val="en-GB"/>
              </w:rPr>
              <w:t>Controlled dissemination</w:t>
            </w:r>
          </w:p>
        </w:tc>
        <w:tc>
          <w:tcPr>
            <w:tcW w:w="5953" w:type="dxa"/>
            <w:tcBorders>
              <w:left w:val="single" w:sz="4" w:space="0" w:color="auto"/>
              <w:bottom w:val="single" w:sz="4" w:space="0" w:color="auto"/>
              <w:right w:val="single" w:sz="12" w:space="0" w:color="auto"/>
            </w:tcBorders>
          </w:tcPr>
          <w:p w:rsidR="00684413" w:rsidRDefault="002F39F4" w:rsidP="002F39F4">
            <w:pPr>
              <w:rPr>
                <w:lang w:val="en-GB"/>
              </w:rPr>
            </w:pPr>
            <w:r>
              <w:rPr>
                <w:lang w:val="en-GB"/>
              </w:rPr>
              <w:t xml:space="preserve">The individual has control on what, and how, personal information </w:t>
            </w:r>
            <w:proofErr w:type="gramStart"/>
            <w:r>
              <w:rPr>
                <w:lang w:val="en-GB"/>
              </w:rPr>
              <w:t>is disseminated</w:t>
            </w:r>
            <w:proofErr w:type="gramEnd"/>
            <w:r>
              <w:rPr>
                <w:lang w:val="en-GB"/>
              </w:rPr>
              <w:t>.</w:t>
            </w:r>
          </w:p>
        </w:tc>
      </w:tr>
      <w:tr w:rsidR="00684413" w:rsidRPr="00C66709" w:rsidTr="00684413">
        <w:tc>
          <w:tcPr>
            <w:tcW w:w="2689" w:type="dxa"/>
            <w:tcBorders>
              <w:top w:val="single" w:sz="4" w:space="0" w:color="auto"/>
              <w:left w:val="single" w:sz="12" w:space="0" w:color="auto"/>
              <w:bottom w:val="single" w:sz="12" w:space="0" w:color="auto"/>
            </w:tcBorders>
          </w:tcPr>
          <w:p w:rsidR="00684413" w:rsidRDefault="00BE7457" w:rsidP="0070051D">
            <w:pPr>
              <w:rPr>
                <w:lang w:val="en-GB"/>
              </w:rPr>
            </w:pPr>
            <w:r>
              <w:rPr>
                <w:lang w:val="en-GB"/>
              </w:rPr>
              <w:t>I</w:t>
            </w:r>
            <w:r w:rsidR="00785DCD">
              <w:rPr>
                <w:lang w:val="en-GB"/>
              </w:rPr>
              <w:t>nvasion</w:t>
            </w:r>
            <w:r>
              <w:rPr>
                <w:lang w:val="en-GB"/>
              </w:rPr>
              <w:t xml:space="preserve"> prevention</w:t>
            </w:r>
          </w:p>
        </w:tc>
        <w:tc>
          <w:tcPr>
            <w:tcW w:w="5953" w:type="dxa"/>
            <w:tcBorders>
              <w:top w:val="single" w:sz="4" w:space="0" w:color="auto"/>
              <w:bottom w:val="single" w:sz="12" w:space="0" w:color="auto"/>
              <w:right w:val="single" w:sz="12" w:space="0" w:color="auto"/>
            </w:tcBorders>
          </w:tcPr>
          <w:p w:rsidR="00684413" w:rsidRDefault="00D75E34" w:rsidP="00D75E34">
            <w:pPr>
              <w:rPr>
                <w:lang w:val="en-GB"/>
              </w:rPr>
            </w:pPr>
            <w:r>
              <w:rPr>
                <w:lang w:val="en-GB"/>
              </w:rPr>
              <w:t>Protection against disturbance/intrusion of an individual’s solitude or seclusion</w:t>
            </w:r>
          </w:p>
        </w:tc>
      </w:tr>
      <w:tr w:rsidR="003C415B" w:rsidTr="009D2670">
        <w:tc>
          <w:tcPr>
            <w:tcW w:w="8642" w:type="dxa"/>
            <w:gridSpan w:val="2"/>
            <w:tcBorders>
              <w:top w:val="single" w:sz="12" w:space="0" w:color="auto"/>
              <w:left w:val="single" w:sz="12" w:space="0" w:color="auto"/>
              <w:right w:val="single" w:sz="12" w:space="0" w:color="auto"/>
            </w:tcBorders>
          </w:tcPr>
          <w:p w:rsidR="003C415B" w:rsidRPr="003C415B" w:rsidRDefault="003C415B" w:rsidP="003C415B">
            <w:pPr>
              <w:jc w:val="center"/>
              <w:rPr>
                <w:b/>
                <w:lang w:val="en-GB"/>
              </w:rPr>
            </w:pPr>
            <w:r w:rsidRPr="003C415B">
              <w:rPr>
                <w:b/>
                <w:lang w:val="en-GB"/>
              </w:rPr>
              <w:t>Dependability</w:t>
            </w:r>
          </w:p>
        </w:tc>
      </w:tr>
      <w:tr w:rsidR="006B5710" w:rsidTr="009D2670">
        <w:tc>
          <w:tcPr>
            <w:tcW w:w="2689" w:type="dxa"/>
            <w:tcBorders>
              <w:left w:val="single" w:sz="12" w:space="0" w:color="auto"/>
            </w:tcBorders>
          </w:tcPr>
          <w:p w:rsidR="006B5710" w:rsidRDefault="006B5710" w:rsidP="0070051D">
            <w:pPr>
              <w:rPr>
                <w:lang w:val="en-GB"/>
              </w:rPr>
            </w:pPr>
            <w:r>
              <w:rPr>
                <w:lang w:val="en-GB"/>
              </w:rPr>
              <w:t>Availability (dependability)</w:t>
            </w:r>
          </w:p>
        </w:tc>
        <w:tc>
          <w:tcPr>
            <w:tcW w:w="5953" w:type="dxa"/>
            <w:tcBorders>
              <w:right w:val="single" w:sz="12" w:space="0" w:color="auto"/>
            </w:tcBorders>
          </w:tcPr>
          <w:p w:rsidR="006B5710" w:rsidRDefault="007F623A" w:rsidP="0070051D">
            <w:pPr>
              <w:rPr>
                <w:lang w:val="en-GB"/>
              </w:rPr>
            </w:pPr>
            <w:r w:rsidRPr="004E57B9">
              <w:rPr>
                <w:lang w:val="en-GB"/>
              </w:rPr>
              <w:t>Readiness for correct service.</w:t>
            </w:r>
          </w:p>
        </w:tc>
      </w:tr>
      <w:tr w:rsidR="006B5710" w:rsidTr="009D2670">
        <w:tc>
          <w:tcPr>
            <w:tcW w:w="2689" w:type="dxa"/>
            <w:tcBorders>
              <w:left w:val="single" w:sz="12" w:space="0" w:color="auto"/>
            </w:tcBorders>
          </w:tcPr>
          <w:p w:rsidR="006B5710" w:rsidRDefault="006B5710" w:rsidP="0070051D">
            <w:pPr>
              <w:rPr>
                <w:lang w:val="en-GB"/>
              </w:rPr>
            </w:pPr>
            <w:r>
              <w:rPr>
                <w:lang w:val="en-GB"/>
              </w:rPr>
              <w:t>Reliability</w:t>
            </w:r>
          </w:p>
        </w:tc>
        <w:tc>
          <w:tcPr>
            <w:tcW w:w="5953" w:type="dxa"/>
            <w:tcBorders>
              <w:right w:val="single" w:sz="12" w:space="0" w:color="auto"/>
            </w:tcBorders>
          </w:tcPr>
          <w:p w:rsidR="006B5710" w:rsidRDefault="007F623A" w:rsidP="0070051D">
            <w:pPr>
              <w:rPr>
                <w:lang w:val="en-GB"/>
              </w:rPr>
            </w:pPr>
            <w:r w:rsidRPr="004E57B9">
              <w:rPr>
                <w:lang w:val="en-GB"/>
              </w:rPr>
              <w:t>Continuity of correct service.</w:t>
            </w:r>
          </w:p>
        </w:tc>
      </w:tr>
      <w:tr w:rsidR="006B5710" w:rsidRPr="00C66709" w:rsidTr="009D2670">
        <w:tc>
          <w:tcPr>
            <w:tcW w:w="2689" w:type="dxa"/>
            <w:tcBorders>
              <w:left w:val="single" w:sz="12" w:space="0" w:color="auto"/>
            </w:tcBorders>
          </w:tcPr>
          <w:p w:rsidR="006B5710" w:rsidRDefault="006B5710" w:rsidP="0070051D">
            <w:pPr>
              <w:rPr>
                <w:lang w:val="en-GB"/>
              </w:rPr>
            </w:pPr>
            <w:r>
              <w:rPr>
                <w:lang w:val="en-GB"/>
              </w:rPr>
              <w:t>Safety</w:t>
            </w:r>
          </w:p>
        </w:tc>
        <w:tc>
          <w:tcPr>
            <w:tcW w:w="5953" w:type="dxa"/>
            <w:tcBorders>
              <w:right w:val="single" w:sz="12" w:space="0" w:color="auto"/>
            </w:tcBorders>
          </w:tcPr>
          <w:p w:rsidR="006B5710" w:rsidRPr="00F57525" w:rsidRDefault="00F57525" w:rsidP="00F57525">
            <w:pPr>
              <w:autoSpaceDE w:val="0"/>
              <w:autoSpaceDN w:val="0"/>
              <w:adjustRightInd w:val="0"/>
              <w:rPr>
                <w:lang w:val="en-GB"/>
              </w:rPr>
            </w:pPr>
            <w:r w:rsidRPr="004E57B9">
              <w:rPr>
                <w:lang w:val="en-GB"/>
              </w:rPr>
              <w:t>Absence of catastrophic consequences on the user(s) and the environment</w:t>
            </w:r>
            <w:r w:rsidR="00275C03">
              <w:rPr>
                <w:lang w:val="en-GB"/>
              </w:rPr>
              <w:t>.</w:t>
            </w:r>
          </w:p>
        </w:tc>
      </w:tr>
      <w:tr w:rsidR="006B5710" w:rsidRPr="00C66709" w:rsidTr="009D2670">
        <w:tc>
          <w:tcPr>
            <w:tcW w:w="2689" w:type="dxa"/>
            <w:tcBorders>
              <w:left w:val="single" w:sz="12" w:space="0" w:color="auto"/>
            </w:tcBorders>
          </w:tcPr>
          <w:p w:rsidR="006B5710" w:rsidRDefault="006B5710" w:rsidP="0070051D">
            <w:pPr>
              <w:rPr>
                <w:lang w:val="en-GB"/>
              </w:rPr>
            </w:pPr>
            <w:r>
              <w:rPr>
                <w:lang w:val="en-GB"/>
              </w:rPr>
              <w:t>Integrity (dependability)</w:t>
            </w:r>
          </w:p>
        </w:tc>
        <w:tc>
          <w:tcPr>
            <w:tcW w:w="5953" w:type="dxa"/>
            <w:tcBorders>
              <w:right w:val="single" w:sz="12" w:space="0" w:color="auto"/>
            </w:tcBorders>
          </w:tcPr>
          <w:p w:rsidR="006B5710" w:rsidRPr="009509FA" w:rsidRDefault="006B2C12" w:rsidP="006B2C12">
            <w:pPr>
              <w:autoSpaceDE w:val="0"/>
              <w:autoSpaceDN w:val="0"/>
              <w:adjustRightInd w:val="0"/>
              <w:rPr>
                <w:lang w:val="en-GB"/>
              </w:rPr>
            </w:pPr>
            <w:r w:rsidRPr="009509FA">
              <w:rPr>
                <w:u w:val="single"/>
                <w:lang w:val="en-GB"/>
              </w:rPr>
              <w:t>For safety:</w:t>
            </w:r>
            <w:r w:rsidRPr="009509FA">
              <w:rPr>
                <w:lang w:val="en-GB"/>
              </w:rPr>
              <w:t xml:space="preserve"> The probability of a safety-related system satisfactorily performing the required safety functions under all the stated conditions within a stated </w:t>
            </w:r>
            <w:proofErr w:type="gramStart"/>
            <w:r w:rsidRPr="009509FA">
              <w:rPr>
                <w:lang w:val="en-GB"/>
              </w:rPr>
              <w:t>period of time</w:t>
            </w:r>
            <w:proofErr w:type="gramEnd"/>
            <w:r w:rsidRPr="009509FA">
              <w:rPr>
                <w:lang w:val="en-GB"/>
              </w:rPr>
              <w:t>.</w:t>
            </w:r>
          </w:p>
          <w:p w:rsidR="006B2C12" w:rsidRPr="0010539E" w:rsidRDefault="006B2C12" w:rsidP="0010539E">
            <w:pPr>
              <w:autoSpaceDE w:val="0"/>
              <w:autoSpaceDN w:val="0"/>
              <w:adjustRightInd w:val="0"/>
              <w:rPr>
                <w:lang w:val="en-GB"/>
              </w:rPr>
            </w:pPr>
            <w:r w:rsidRPr="009509FA">
              <w:rPr>
                <w:u w:val="single"/>
                <w:lang w:val="en-GB"/>
              </w:rPr>
              <w:t>General:</w:t>
            </w:r>
            <w:r w:rsidRPr="009509FA">
              <w:rPr>
                <w:lang w:val="en-GB"/>
              </w:rPr>
              <w:t xml:space="preserve"> </w:t>
            </w:r>
            <w:r w:rsidR="0010539E" w:rsidRPr="009509FA">
              <w:rPr>
                <w:lang w:val="en-GB"/>
              </w:rPr>
              <w:t>Absence of improper system alterations.</w:t>
            </w:r>
          </w:p>
        </w:tc>
      </w:tr>
      <w:tr w:rsidR="006B5710" w:rsidRPr="00C66709" w:rsidTr="009D2670">
        <w:tc>
          <w:tcPr>
            <w:tcW w:w="2689" w:type="dxa"/>
            <w:tcBorders>
              <w:left w:val="single" w:sz="12" w:space="0" w:color="auto"/>
              <w:bottom w:val="single" w:sz="12" w:space="0" w:color="auto"/>
            </w:tcBorders>
          </w:tcPr>
          <w:p w:rsidR="006B5710" w:rsidRDefault="006B5710" w:rsidP="0070051D">
            <w:pPr>
              <w:rPr>
                <w:lang w:val="en-GB"/>
              </w:rPr>
            </w:pPr>
            <w:r>
              <w:rPr>
                <w:lang w:val="en-GB"/>
              </w:rPr>
              <w:t>Maintainability</w:t>
            </w:r>
          </w:p>
        </w:tc>
        <w:tc>
          <w:tcPr>
            <w:tcW w:w="5953" w:type="dxa"/>
            <w:tcBorders>
              <w:bottom w:val="single" w:sz="12" w:space="0" w:color="auto"/>
              <w:right w:val="single" w:sz="12" w:space="0" w:color="auto"/>
            </w:tcBorders>
          </w:tcPr>
          <w:p w:rsidR="006B5710" w:rsidRDefault="00DE2134" w:rsidP="00DE2134">
            <w:pPr>
              <w:autoSpaceDE w:val="0"/>
              <w:autoSpaceDN w:val="0"/>
              <w:adjustRightInd w:val="0"/>
              <w:rPr>
                <w:lang w:val="en-GB"/>
              </w:rPr>
            </w:pPr>
            <w:r w:rsidRPr="004E57B9">
              <w:rPr>
                <w:lang w:val="en-GB"/>
              </w:rPr>
              <w:t>Ability to undergo modifications and repairs.</w:t>
            </w:r>
          </w:p>
        </w:tc>
      </w:tr>
    </w:tbl>
    <w:p w:rsidR="001A2AD9" w:rsidRDefault="001A2AD9" w:rsidP="0070051D">
      <w:pPr>
        <w:spacing w:after="0" w:line="240" w:lineRule="auto"/>
        <w:rPr>
          <w:lang w:val="en-GB"/>
        </w:rPr>
      </w:pPr>
    </w:p>
    <w:p w:rsidR="000460AB" w:rsidRDefault="000460AB" w:rsidP="0070051D">
      <w:pPr>
        <w:spacing w:after="0" w:line="240" w:lineRule="auto"/>
        <w:rPr>
          <w:lang w:val="en-GB"/>
        </w:rPr>
      </w:pPr>
    </w:p>
    <w:p w:rsidR="000460AB" w:rsidRPr="00C66709" w:rsidRDefault="000460AB" w:rsidP="0070051D">
      <w:pPr>
        <w:spacing w:after="0" w:line="240" w:lineRule="auto"/>
        <w:rPr>
          <w:b/>
          <w:u w:val="single"/>
          <w:lang w:val="en-GB"/>
        </w:rPr>
      </w:pPr>
      <w:r w:rsidRPr="00C66709">
        <w:rPr>
          <w:b/>
          <w:u w:val="single"/>
          <w:lang w:val="en-GB"/>
        </w:rPr>
        <w:t>Causes vs consequences</w:t>
      </w:r>
    </w:p>
    <w:p w:rsidR="000460AB" w:rsidRPr="00C66709" w:rsidRDefault="000460AB" w:rsidP="0070051D">
      <w:pPr>
        <w:spacing w:after="0" w:line="240" w:lineRule="auto"/>
        <w:rPr>
          <w:lang w:val="en-GB"/>
        </w:rPr>
      </w:pPr>
      <w:r w:rsidRPr="00C66709">
        <w:rPr>
          <w:lang w:val="en-GB"/>
        </w:rPr>
        <w:t xml:space="preserve">The proposed taxonomy focuses on system attributes, which in fact are primarily characterizations of the outcome of unwanted events. Since risk </w:t>
      </w:r>
      <w:proofErr w:type="gramStart"/>
      <w:r w:rsidRPr="00C66709">
        <w:rPr>
          <w:lang w:val="en-GB"/>
        </w:rPr>
        <w:t>is typically defined</w:t>
      </w:r>
      <w:proofErr w:type="gramEnd"/>
      <w:r w:rsidRPr="00C66709">
        <w:rPr>
          <w:lang w:val="en-GB"/>
        </w:rPr>
        <w:t xml:space="preserve"> as the “combination of the consequence and the probability of unwanted events”, it makes sense to define the taxonomy this way. However, an issue that </w:t>
      </w:r>
      <w:proofErr w:type="gramStart"/>
      <w:r w:rsidRPr="00C66709">
        <w:rPr>
          <w:lang w:val="en-GB"/>
        </w:rPr>
        <w:t>is usually attributed</w:t>
      </w:r>
      <w:proofErr w:type="gramEnd"/>
      <w:r w:rsidRPr="00C66709">
        <w:rPr>
          <w:lang w:val="en-GB"/>
        </w:rPr>
        <w:t xml:space="preserve"> to security, and which might not be 100% clear from the above proposal, is the need to address intentional actions, as well as unintentional events. </w:t>
      </w:r>
      <w:r w:rsidR="00B07CD7" w:rsidRPr="00C66709">
        <w:rPr>
          <w:lang w:val="en-GB"/>
        </w:rPr>
        <w:t xml:space="preserve">It </w:t>
      </w:r>
      <w:proofErr w:type="gramStart"/>
      <w:r w:rsidR="00B07CD7" w:rsidRPr="00C66709">
        <w:rPr>
          <w:lang w:val="en-GB"/>
        </w:rPr>
        <w:t>should, therefore, be noted</w:t>
      </w:r>
      <w:proofErr w:type="gramEnd"/>
      <w:r w:rsidR="00B07CD7" w:rsidRPr="00C66709">
        <w:rPr>
          <w:lang w:val="en-GB"/>
        </w:rPr>
        <w:t xml:space="preserve"> that when addressing SPD we must include both intentional and unintentional issues when considering possible causes to loss of SPD.</w:t>
      </w:r>
      <w:r w:rsidR="001E647A" w:rsidRPr="00C66709">
        <w:rPr>
          <w:lang w:val="en-GB"/>
        </w:rPr>
        <w:t xml:space="preserve"> In practice, this </w:t>
      </w:r>
      <w:proofErr w:type="gramStart"/>
      <w:r w:rsidR="001E647A" w:rsidRPr="00C66709">
        <w:rPr>
          <w:lang w:val="en-GB"/>
        </w:rPr>
        <w:t>could be ensured</w:t>
      </w:r>
      <w:proofErr w:type="gramEnd"/>
      <w:r w:rsidR="001E647A" w:rsidRPr="00C66709">
        <w:rPr>
          <w:lang w:val="en-GB"/>
        </w:rPr>
        <w:t xml:space="preserve"> by making separate statements in the trust case regarding “intentional” and “unintentional”</w:t>
      </w:r>
      <w:r w:rsidR="00C6218C" w:rsidRPr="00C66709">
        <w:rPr>
          <w:lang w:val="en-GB"/>
        </w:rPr>
        <w:t xml:space="preserve"> events</w:t>
      </w:r>
      <w:r w:rsidR="001E647A" w:rsidRPr="00C66709">
        <w:rPr>
          <w:lang w:val="en-GB"/>
        </w:rPr>
        <w:t>.</w:t>
      </w:r>
    </w:p>
    <w:p w:rsidR="000460AB" w:rsidRPr="00C66709" w:rsidRDefault="000460AB" w:rsidP="0070051D">
      <w:pPr>
        <w:spacing w:after="0" w:line="240" w:lineRule="auto"/>
        <w:rPr>
          <w:lang w:val="en-GB"/>
        </w:rPr>
      </w:pPr>
    </w:p>
    <w:p w:rsidR="000460AB" w:rsidRDefault="000460AB" w:rsidP="0070051D">
      <w:pPr>
        <w:spacing w:after="0" w:line="240" w:lineRule="auto"/>
        <w:rPr>
          <w:lang w:val="en-GB"/>
        </w:rPr>
      </w:pPr>
    </w:p>
    <w:p w:rsidR="00183F8B" w:rsidRDefault="00183F8B" w:rsidP="0070051D">
      <w:pPr>
        <w:spacing w:after="0" w:line="240" w:lineRule="auto"/>
        <w:rPr>
          <w:lang w:val="en-GB"/>
        </w:rPr>
      </w:pPr>
    </w:p>
    <w:p w:rsidR="00045EDF" w:rsidRDefault="00045EDF" w:rsidP="0070051D">
      <w:pPr>
        <w:spacing w:after="0" w:line="240" w:lineRule="auto"/>
        <w:rPr>
          <w:lang w:val="en-GB"/>
        </w:rPr>
      </w:pPr>
    </w:p>
    <w:p w:rsidR="00045EDF" w:rsidRPr="00045EDF" w:rsidRDefault="00045EDF" w:rsidP="0070051D">
      <w:pPr>
        <w:spacing w:after="0" w:line="240" w:lineRule="auto"/>
        <w:rPr>
          <w:b/>
          <w:sz w:val="28"/>
          <w:lang w:val="en-GB"/>
        </w:rPr>
      </w:pPr>
      <w:r w:rsidRPr="00045EDF">
        <w:rPr>
          <w:b/>
          <w:sz w:val="28"/>
          <w:lang w:val="en-GB"/>
        </w:rPr>
        <w:lastRenderedPageBreak/>
        <w:t>References</w:t>
      </w:r>
    </w:p>
    <w:p w:rsidR="00045EDF" w:rsidRDefault="00045EDF" w:rsidP="0070051D">
      <w:pPr>
        <w:spacing w:after="0" w:line="240" w:lineRule="auto"/>
        <w:rPr>
          <w:lang w:val="en-GB"/>
        </w:rPr>
      </w:pPr>
    </w:p>
    <w:p w:rsidR="00045EDF" w:rsidRPr="00E83026" w:rsidRDefault="00E83026" w:rsidP="00045EDF">
      <w:pPr>
        <w:pStyle w:val="ListParagraph"/>
        <w:numPr>
          <w:ilvl w:val="0"/>
          <w:numId w:val="1"/>
        </w:numPr>
        <w:spacing w:after="0" w:line="240" w:lineRule="auto"/>
        <w:rPr>
          <w:rStyle w:val="reference-text"/>
          <w:lang w:val="en-GB"/>
        </w:rPr>
      </w:pPr>
      <w:bookmarkStart w:id="3" w:name="_Ref517766234"/>
      <w:r>
        <w:rPr>
          <w:rStyle w:val="reference-text"/>
          <w:lang w:val="en"/>
        </w:rPr>
        <w:t xml:space="preserve">J.C. </w:t>
      </w:r>
      <w:proofErr w:type="spellStart"/>
      <w:r>
        <w:rPr>
          <w:rStyle w:val="reference-text"/>
          <w:lang w:val="en"/>
        </w:rPr>
        <w:t>Laprie</w:t>
      </w:r>
      <w:proofErr w:type="spellEnd"/>
      <w:r>
        <w:rPr>
          <w:rStyle w:val="reference-text"/>
          <w:lang w:val="en"/>
        </w:rPr>
        <w:t xml:space="preserve">. </w:t>
      </w:r>
      <w:r w:rsidR="00045EDF" w:rsidRPr="00E83026">
        <w:rPr>
          <w:rStyle w:val="reference-text"/>
          <w:i/>
          <w:lang w:val="en"/>
        </w:rPr>
        <w:t>Dependable Computing and Fault Tolerance: Concepts and terminology</w:t>
      </w:r>
      <w:r w:rsidR="00045EDF" w:rsidRPr="00045EDF">
        <w:rPr>
          <w:rStyle w:val="reference-text"/>
          <w:lang w:val="en"/>
        </w:rPr>
        <w:t xml:space="preserve">, in Proc. 15th IEEE Int. </w:t>
      </w:r>
      <w:proofErr w:type="spellStart"/>
      <w:r w:rsidR="00045EDF" w:rsidRPr="00045EDF">
        <w:rPr>
          <w:rStyle w:val="reference-text"/>
          <w:lang w:val="en"/>
        </w:rPr>
        <w:t>Symp</w:t>
      </w:r>
      <w:proofErr w:type="spellEnd"/>
      <w:r w:rsidR="00045EDF" w:rsidRPr="00045EDF">
        <w:rPr>
          <w:rStyle w:val="reference-text"/>
          <w:lang w:val="en"/>
        </w:rPr>
        <w:t>. on Fault-Tolerant Computing, 1985</w:t>
      </w:r>
      <w:bookmarkEnd w:id="3"/>
    </w:p>
    <w:p w:rsidR="00045EDF" w:rsidRPr="00B62F3A" w:rsidRDefault="00E83026" w:rsidP="0070051D">
      <w:pPr>
        <w:pStyle w:val="ListParagraph"/>
        <w:numPr>
          <w:ilvl w:val="0"/>
          <w:numId w:val="1"/>
        </w:numPr>
        <w:spacing w:after="0" w:line="240" w:lineRule="auto"/>
        <w:rPr>
          <w:rStyle w:val="reference-text"/>
          <w:lang w:val="en-GB"/>
        </w:rPr>
      </w:pPr>
      <w:bookmarkStart w:id="4" w:name="_Ref517774003"/>
      <w:r w:rsidRPr="008A39FF">
        <w:rPr>
          <w:rStyle w:val="reference-text"/>
          <w:lang w:val="en"/>
        </w:rPr>
        <w:t xml:space="preserve">A. </w:t>
      </w:r>
      <w:proofErr w:type="spellStart"/>
      <w:r w:rsidRPr="008A39FF">
        <w:rPr>
          <w:rStyle w:val="reference-text"/>
          <w:lang w:val="en"/>
        </w:rPr>
        <w:t>Avizienis</w:t>
      </w:r>
      <w:proofErr w:type="spellEnd"/>
      <w:r w:rsidRPr="008A39FF">
        <w:rPr>
          <w:rStyle w:val="reference-text"/>
          <w:lang w:val="en"/>
        </w:rPr>
        <w:t xml:space="preserve">, J.C. </w:t>
      </w:r>
      <w:proofErr w:type="spellStart"/>
      <w:r w:rsidRPr="008A39FF">
        <w:rPr>
          <w:rStyle w:val="reference-text"/>
          <w:lang w:val="en"/>
        </w:rPr>
        <w:t>Laprie</w:t>
      </w:r>
      <w:proofErr w:type="spellEnd"/>
      <w:r w:rsidRPr="008A39FF">
        <w:rPr>
          <w:rStyle w:val="reference-text"/>
          <w:lang w:val="en"/>
        </w:rPr>
        <w:t xml:space="preserve">, B. Randell and C- Landwehr. </w:t>
      </w:r>
      <w:r w:rsidRPr="008A39FF">
        <w:rPr>
          <w:rStyle w:val="reference-text"/>
          <w:i/>
          <w:lang w:val="en"/>
        </w:rPr>
        <w:t>Basic Concepts and Taxonomy of Dependable and Secure Computing</w:t>
      </w:r>
      <w:r w:rsidRPr="008A39FF">
        <w:rPr>
          <w:rStyle w:val="reference-text"/>
          <w:lang w:val="en"/>
        </w:rPr>
        <w:t>, IEEE Transactions on Dependable and Secure Computing, vol. 1, No. 1, January-March 2004</w:t>
      </w:r>
      <w:bookmarkEnd w:id="4"/>
    </w:p>
    <w:bookmarkStart w:id="5" w:name="_Ref522001360"/>
    <w:p w:rsidR="00B62F3A" w:rsidRDefault="00C179C6" w:rsidP="00B62F3A">
      <w:pPr>
        <w:pStyle w:val="ListParagraph"/>
        <w:numPr>
          <w:ilvl w:val="0"/>
          <w:numId w:val="1"/>
        </w:numPr>
        <w:spacing w:after="0" w:line="240" w:lineRule="auto"/>
        <w:rPr>
          <w:lang w:val="en-GB"/>
        </w:rPr>
      </w:pPr>
      <w:r>
        <w:rPr>
          <w:lang w:val="en-GB"/>
        </w:rPr>
        <w:fldChar w:fldCharType="begin"/>
      </w:r>
      <w:r>
        <w:rPr>
          <w:lang w:val="en-GB"/>
        </w:rPr>
        <w:instrText xml:space="preserve"> HYPERLINK "</w:instrText>
      </w:r>
      <w:r w:rsidRPr="00B62F3A">
        <w:rPr>
          <w:lang w:val="en-GB"/>
        </w:rPr>
        <w:instrText>https://cordis.europa.eu/project/rcn/71245_en.html</w:instrText>
      </w:r>
      <w:r>
        <w:rPr>
          <w:lang w:val="en-GB"/>
        </w:rPr>
        <w:instrText xml:space="preserve">" </w:instrText>
      </w:r>
      <w:r>
        <w:rPr>
          <w:lang w:val="en-GB"/>
        </w:rPr>
        <w:fldChar w:fldCharType="separate"/>
      </w:r>
      <w:bookmarkStart w:id="6" w:name="_Ref522608032"/>
      <w:r w:rsidRPr="00194754">
        <w:rPr>
          <w:rStyle w:val="Hyperlink"/>
          <w:lang w:val="en-GB"/>
        </w:rPr>
        <w:t>https://cordis.europa.eu/project/rcn/71245_en.html</w:t>
      </w:r>
      <w:bookmarkEnd w:id="5"/>
      <w:bookmarkEnd w:id="6"/>
      <w:r>
        <w:rPr>
          <w:lang w:val="en-GB"/>
        </w:rPr>
        <w:fldChar w:fldCharType="end"/>
      </w:r>
    </w:p>
    <w:p w:rsidR="00C179C6" w:rsidRPr="006551C5" w:rsidRDefault="00116182" w:rsidP="00C179C6">
      <w:pPr>
        <w:pStyle w:val="ListParagraph"/>
        <w:numPr>
          <w:ilvl w:val="0"/>
          <w:numId w:val="1"/>
        </w:numPr>
        <w:spacing w:after="0" w:line="240" w:lineRule="auto"/>
        <w:rPr>
          <w:rStyle w:val="Hyperlink"/>
          <w:color w:val="auto"/>
          <w:u w:val="none"/>
          <w:lang w:val="en-GB"/>
        </w:rPr>
      </w:pPr>
      <w:hyperlink r:id="rId9" w:anchor="Introduction" w:history="1">
        <w:bookmarkStart w:id="7" w:name="_Ref522606863"/>
        <w:r w:rsidR="00C179C6" w:rsidRPr="00194754">
          <w:rPr>
            <w:rStyle w:val="Hyperlink"/>
            <w:lang w:val="en-GB"/>
          </w:rPr>
          <w:t>https://wiki.openrightsgroup.org/wiki/A_Taxonomy_of_Privacy#Introduction</w:t>
        </w:r>
        <w:bookmarkEnd w:id="7"/>
      </w:hyperlink>
    </w:p>
    <w:p w:rsidR="006551C5" w:rsidRPr="006551C5" w:rsidRDefault="006551C5" w:rsidP="00C179C6">
      <w:pPr>
        <w:pStyle w:val="ListParagraph"/>
        <w:numPr>
          <w:ilvl w:val="0"/>
          <w:numId w:val="1"/>
        </w:numPr>
        <w:spacing w:after="0" w:line="240" w:lineRule="auto"/>
        <w:rPr>
          <w:rStyle w:val="reference-text"/>
          <w:lang w:val="en"/>
        </w:rPr>
      </w:pPr>
      <w:bookmarkStart w:id="8" w:name="_Ref524513709"/>
      <w:r w:rsidRPr="006551C5">
        <w:rPr>
          <w:rStyle w:val="reference-text"/>
          <w:lang w:val="en"/>
        </w:rPr>
        <w:t>Stallings, W. </w:t>
      </w:r>
      <w:r w:rsidRPr="006551C5">
        <w:rPr>
          <w:rStyle w:val="reference-text"/>
          <w:i/>
          <w:iCs/>
          <w:lang w:val="en"/>
        </w:rPr>
        <w:t>Cryptography and network security: principles and practice</w:t>
      </w:r>
      <w:r w:rsidRPr="006551C5">
        <w:rPr>
          <w:rStyle w:val="reference-text"/>
          <w:lang w:val="en"/>
        </w:rPr>
        <w:t> SIXTH EDITION (chapter 1, p 29-34).</w:t>
      </w:r>
      <w:bookmarkEnd w:id="8"/>
    </w:p>
    <w:p w:rsidR="00C179C6" w:rsidRPr="00C179C6" w:rsidRDefault="00C179C6" w:rsidP="00C179C6">
      <w:pPr>
        <w:spacing w:after="0" w:line="240" w:lineRule="auto"/>
        <w:ind w:left="360"/>
        <w:rPr>
          <w:lang w:val="en-GB"/>
        </w:rPr>
      </w:pPr>
    </w:p>
    <w:sectPr w:rsidR="00C179C6" w:rsidRPr="00C17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7B1"/>
    <w:multiLevelType w:val="hybridMultilevel"/>
    <w:tmpl w:val="83108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AB187E"/>
    <w:multiLevelType w:val="hybridMultilevel"/>
    <w:tmpl w:val="AA889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EAA31A1"/>
    <w:multiLevelType w:val="hybridMultilevel"/>
    <w:tmpl w:val="47B2F61A"/>
    <w:lvl w:ilvl="0" w:tplc="B47A1E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AF0B64"/>
    <w:multiLevelType w:val="hybridMultilevel"/>
    <w:tmpl w:val="4D3ED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1D"/>
    <w:rsid w:val="000145EB"/>
    <w:rsid w:val="00015064"/>
    <w:rsid w:val="0004278E"/>
    <w:rsid w:val="00045EDF"/>
    <w:rsid w:val="000460AB"/>
    <w:rsid w:val="0004742D"/>
    <w:rsid w:val="0006368D"/>
    <w:rsid w:val="000F220A"/>
    <w:rsid w:val="0010539E"/>
    <w:rsid w:val="00116182"/>
    <w:rsid w:val="00124292"/>
    <w:rsid w:val="00183F8B"/>
    <w:rsid w:val="001965B7"/>
    <w:rsid w:val="001A2AD9"/>
    <w:rsid w:val="001E647A"/>
    <w:rsid w:val="00250826"/>
    <w:rsid w:val="00275C03"/>
    <w:rsid w:val="00275EFF"/>
    <w:rsid w:val="00284B78"/>
    <w:rsid w:val="002B5AFE"/>
    <w:rsid w:val="002F39F4"/>
    <w:rsid w:val="0030261B"/>
    <w:rsid w:val="00323364"/>
    <w:rsid w:val="00351D4E"/>
    <w:rsid w:val="00375FE9"/>
    <w:rsid w:val="003B1048"/>
    <w:rsid w:val="003B38E2"/>
    <w:rsid w:val="003B635D"/>
    <w:rsid w:val="003C415B"/>
    <w:rsid w:val="003D0EC5"/>
    <w:rsid w:val="003D4980"/>
    <w:rsid w:val="003E5E8B"/>
    <w:rsid w:val="00450618"/>
    <w:rsid w:val="0045544E"/>
    <w:rsid w:val="00470AE8"/>
    <w:rsid w:val="00474F4A"/>
    <w:rsid w:val="004B3939"/>
    <w:rsid w:val="004D7A34"/>
    <w:rsid w:val="004E57B9"/>
    <w:rsid w:val="00532196"/>
    <w:rsid w:val="00577831"/>
    <w:rsid w:val="005D6129"/>
    <w:rsid w:val="00610299"/>
    <w:rsid w:val="00623A08"/>
    <w:rsid w:val="00640862"/>
    <w:rsid w:val="00645703"/>
    <w:rsid w:val="006551C5"/>
    <w:rsid w:val="0067467C"/>
    <w:rsid w:val="00684413"/>
    <w:rsid w:val="006B2C12"/>
    <w:rsid w:val="006B5710"/>
    <w:rsid w:val="006D7172"/>
    <w:rsid w:val="0070051D"/>
    <w:rsid w:val="0071532C"/>
    <w:rsid w:val="007172A0"/>
    <w:rsid w:val="00746AE8"/>
    <w:rsid w:val="00785DCD"/>
    <w:rsid w:val="007F623A"/>
    <w:rsid w:val="0085236A"/>
    <w:rsid w:val="00860A7D"/>
    <w:rsid w:val="008A39FF"/>
    <w:rsid w:val="008A6781"/>
    <w:rsid w:val="008B570E"/>
    <w:rsid w:val="008F2BBC"/>
    <w:rsid w:val="008F430F"/>
    <w:rsid w:val="00903471"/>
    <w:rsid w:val="009223DD"/>
    <w:rsid w:val="00950847"/>
    <w:rsid w:val="009509FA"/>
    <w:rsid w:val="0095270E"/>
    <w:rsid w:val="009A5842"/>
    <w:rsid w:val="009C0752"/>
    <w:rsid w:val="009C4A8B"/>
    <w:rsid w:val="009D2670"/>
    <w:rsid w:val="00A57441"/>
    <w:rsid w:val="00A812BB"/>
    <w:rsid w:val="00AE4BEB"/>
    <w:rsid w:val="00B07CD7"/>
    <w:rsid w:val="00B62F3A"/>
    <w:rsid w:val="00B67B2C"/>
    <w:rsid w:val="00BE7457"/>
    <w:rsid w:val="00C179C6"/>
    <w:rsid w:val="00C37C0E"/>
    <w:rsid w:val="00C6218C"/>
    <w:rsid w:val="00C66709"/>
    <w:rsid w:val="00C814CB"/>
    <w:rsid w:val="00C84C15"/>
    <w:rsid w:val="00D35687"/>
    <w:rsid w:val="00D56611"/>
    <w:rsid w:val="00D61541"/>
    <w:rsid w:val="00D75E34"/>
    <w:rsid w:val="00D772CB"/>
    <w:rsid w:val="00D83964"/>
    <w:rsid w:val="00DE2134"/>
    <w:rsid w:val="00DE7E1B"/>
    <w:rsid w:val="00DF6316"/>
    <w:rsid w:val="00E83026"/>
    <w:rsid w:val="00EA0B45"/>
    <w:rsid w:val="00EA5307"/>
    <w:rsid w:val="00F13F59"/>
    <w:rsid w:val="00F45AB6"/>
    <w:rsid w:val="00F57525"/>
    <w:rsid w:val="00FB0EB5"/>
    <w:rsid w:val="00FD2F4B"/>
    <w:rsid w:val="00FE13B6"/>
    <w:rsid w:val="00FF6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2C8A-3339-4F7E-8882-FFB0A96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045EDF"/>
  </w:style>
  <w:style w:type="paragraph" w:styleId="ListParagraph">
    <w:name w:val="List Paragraph"/>
    <w:basedOn w:val="Normal"/>
    <w:uiPriority w:val="34"/>
    <w:qFormat/>
    <w:rsid w:val="00045EDF"/>
    <w:pPr>
      <w:ind w:left="720"/>
      <w:contextualSpacing/>
    </w:pPr>
  </w:style>
  <w:style w:type="paragraph" w:styleId="Caption">
    <w:name w:val="caption"/>
    <w:basedOn w:val="Normal"/>
    <w:next w:val="Normal"/>
    <w:uiPriority w:val="35"/>
    <w:unhideWhenUsed/>
    <w:qFormat/>
    <w:rsid w:val="00FD2F4B"/>
    <w:pPr>
      <w:spacing w:after="200" w:line="240" w:lineRule="auto"/>
    </w:pPr>
    <w:rPr>
      <w:i/>
      <w:iCs/>
      <w:color w:val="44546A" w:themeColor="text2"/>
      <w:sz w:val="18"/>
      <w:szCs w:val="18"/>
    </w:rPr>
  </w:style>
  <w:style w:type="character" w:styleId="Strong">
    <w:name w:val="Strong"/>
    <w:basedOn w:val="DefaultParagraphFont"/>
    <w:uiPriority w:val="22"/>
    <w:qFormat/>
    <w:rsid w:val="000F220A"/>
    <w:rPr>
      <w:b/>
      <w:bCs/>
    </w:rPr>
  </w:style>
  <w:style w:type="table" w:styleId="TableGrid">
    <w:name w:val="Table Grid"/>
    <w:basedOn w:val="TableNormal"/>
    <w:uiPriority w:val="39"/>
    <w:rsid w:val="0045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80"/>
    <w:rPr>
      <w:rFonts w:ascii="Segoe UI" w:hAnsi="Segoe UI" w:cs="Segoe UI"/>
      <w:sz w:val="18"/>
      <w:szCs w:val="18"/>
    </w:rPr>
  </w:style>
  <w:style w:type="character" w:styleId="Hyperlink">
    <w:name w:val="Hyperlink"/>
    <w:basedOn w:val="DefaultParagraphFont"/>
    <w:uiPriority w:val="99"/>
    <w:unhideWhenUsed/>
    <w:rsid w:val="00C179C6"/>
    <w:rPr>
      <w:color w:val="0563C1" w:themeColor="hyperlink"/>
      <w:u w:val="single"/>
    </w:rPr>
  </w:style>
  <w:style w:type="character" w:styleId="Emphasis">
    <w:name w:val="Emphasis"/>
    <w:basedOn w:val="DefaultParagraphFont"/>
    <w:uiPriority w:val="20"/>
    <w:qFormat/>
    <w:rsid w:val="00655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load.wikimedia.org/wikipedia/commons/d/da/Dep-1.sv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openrightsgroup.org/wiki/A_Taxonomy_of_Priva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D66A-B331-4ACD-876B-C3C9F578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Winther, Rune</dc:creator>
  <cp:keywords/>
  <dc:description/>
  <cp:lastModifiedBy>Winther, Rune</cp:lastModifiedBy>
  <cp:revision>2</cp:revision>
  <dcterms:created xsi:type="dcterms:W3CDTF">2018-10-02T11:21:00Z</dcterms:created>
  <dcterms:modified xsi:type="dcterms:W3CDTF">2018-10-02T11:21:00Z</dcterms:modified>
</cp:coreProperties>
</file>